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before="280" w:line="276" w:lineRule="auto"/>
        <w:jc w:val="both"/>
        <w:rPr>
          <w:rFonts w:ascii="Georgia" w:cs="Georgia" w:eastAsia="Georgia" w:hAnsi="Georgia"/>
          <w:b w:val="1"/>
          <w:bCs w:val="1"/>
          <w:color w:val="365f91"/>
          <w:sz w:val="28"/>
          <w:szCs w:val="28"/>
        </w:rPr>
      </w:pPr>
      <w:r w:rsidDel="00000000" w:rsidR="00000000" w:rsidRPr="00000000">
        <w:rPr>
          <w:rFonts w:ascii="Georgia" w:cs="Georgia" w:eastAsia="Georgia" w:hAnsi="Georgia"/>
          <w:b w:val="1"/>
          <w:bCs w:val="1"/>
          <w:color w:val="365f91"/>
          <w:sz w:val="28"/>
          <w:szCs w:val="28"/>
          <w:rtl w:val="0"/>
        </w:rPr>
        <w:t xml:space="preserve">WRITING A LEGAL RESEARCH PAPER</w:t>
      </w:r>
    </w:p>
    <w:p w:rsidR="00000000" w:rsidDel="00000000" w:rsidP="00000000" w:rsidRDefault="00000000" w:rsidRPr="00000000" w14:paraId="00000002">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guide emphasises the significance of legal research for advocates, legal practitioners, students, and professionals. It outlines the structure of a research paper, discusses how to conduct a literature review, and provides guidance on formulating a research question. Overall, this guide offers a comprehensive understanding of the intricacies involved in legal research.</w:t>
      </w:r>
    </w:p>
    <w:p w:rsidR="00000000" w:rsidDel="00000000" w:rsidP="00000000" w:rsidRDefault="00000000" w:rsidRPr="00000000" w14:paraId="00000003">
      <w:pPr>
        <w:spacing w:after="280" w:before="280" w:line="276" w:lineRule="auto"/>
        <w:jc w:val="both"/>
        <w:rPr>
          <w:rFonts w:ascii="Georgia" w:cs="Georgia" w:eastAsia="Georgia" w:hAnsi="Georgia"/>
          <w:b w:val="1"/>
          <w:bCs w:val="1"/>
          <w:color w:val="3d85c6"/>
          <w:sz w:val="26"/>
          <w:szCs w:val="26"/>
        </w:rPr>
      </w:pPr>
      <w:r w:rsidDel="00000000" w:rsidR="00000000" w:rsidRPr="00000000">
        <w:rPr>
          <w:rFonts w:ascii="Georgia" w:cs="Georgia" w:eastAsia="Georgia" w:hAnsi="Georgia"/>
          <w:b w:val="1"/>
          <w:bCs w:val="1"/>
          <w:color w:val="3d85c6"/>
          <w:sz w:val="26"/>
          <w:szCs w:val="26"/>
          <w:rtl w:val="0"/>
        </w:rPr>
        <w:t xml:space="preserve">Research Paper Structure Guide</w:t>
      </w:r>
    </w:p>
    <w:p w:rsidR="00000000" w:rsidDel="00000000" w:rsidP="00000000" w:rsidRDefault="00000000" w:rsidRPr="00000000" w14:paraId="00000004">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Introduction</w:t>
      </w:r>
    </w:p>
    <w:p w:rsidR="00000000" w:rsidDel="00000000" w:rsidP="00000000" w:rsidRDefault="00000000" w:rsidRPr="00000000" w14:paraId="00000005">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is the foundation of academic inquiry and knowledge creation. Whether in law, social sciences, management, medicine, or technology, a well-structured research paper serves as a medium through which researchers communicate their findings, arguments, and contributions to a wider audience. However, conducting research alone is insufficient; presenting research in a systematic and </w:t>
      </w:r>
      <w:r w:rsidDel="00000000" w:rsidR="00000000" w:rsidRPr="00000000">
        <w:rPr>
          <w:rFonts w:ascii="Georgia" w:cs="Georgia" w:eastAsia="Georgia" w:hAnsi="Georgia"/>
          <w:sz w:val="24"/>
          <w:szCs w:val="24"/>
          <w:rtl w:val="0"/>
        </w:rPr>
        <w:t xml:space="preserve">organise</w:t>
      </w:r>
      <w:r w:rsidDel="00000000" w:rsidR="00000000" w:rsidRPr="00000000">
        <w:rPr>
          <w:rFonts w:ascii="Georgia" w:cs="Georgia" w:eastAsia="Georgia" w:hAnsi="Georgia"/>
          <w:sz w:val="24"/>
          <w:szCs w:val="24"/>
          <w:rtl w:val="0"/>
        </w:rPr>
        <w:t xml:space="preserve">d manner is equally important. A poorly structured paper can obscure valuable findings, while a well-</w:t>
      </w:r>
      <w:r w:rsidDel="00000000" w:rsidR="00000000" w:rsidRPr="00000000">
        <w:rPr>
          <w:rFonts w:ascii="Georgia" w:cs="Georgia" w:eastAsia="Georgia" w:hAnsi="Georgia"/>
          <w:sz w:val="24"/>
          <w:szCs w:val="24"/>
          <w:rtl w:val="0"/>
        </w:rPr>
        <w:t xml:space="preserve">organise</w:t>
      </w:r>
      <w:r w:rsidDel="00000000" w:rsidR="00000000" w:rsidRPr="00000000">
        <w:rPr>
          <w:rFonts w:ascii="Georgia" w:cs="Georgia" w:eastAsia="Georgia" w:hAnsi="Georgia"/>
          <w:sz w:val="24"/>
          <w:szCs w:val="24"/>
          <w:rtl w:val="0"/>
        </w:rPr>
        <w:t xml:space="preserve">d paper enhances clarity, credibility, and accessibility.</w:t>
      </w:r>
    </w:p>
    <w:p w:rsidR="00000000" w:rsidDel="00000000" w:rsidP="00000000" w:rsidRDefault="00000000" w:rsidRPr="00000000" w14:paraId="00000006">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structure of a research paper acts as a roadmap that guides readers through the study. It enables readers to understand the research problem, methodology, findings, and conclusions in a logical sequence. Academic institutions, journals, and conferences often prescribe specific formats to ensure consistency and quality in scholarly writing. Among the most widely recognised formats are the IMRAD structure (Introduction, Methodology, Results, and Discussion) and discipline-specific formats such as legal research. </w:t>
      </w:r>
    </w:p>
    <w:p w:rsidR="00000000" w:rsidDel="00000000" w:rsidP="00000000" w:rsidRDefault="00000000" w:rsidRPr="00000000" w14:paraId="00000007">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What is a Research Paper?</w:t>
      </w:r>
    </w:p>
    <w:p w:rsidR="00000000" w:rsidDel="00000000" w:rsidP="00000000" w:rsidRDefault="00000000" w:rsidRPr="00000000" w14:paraId="00000008">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research paper is a formal academic document that presents the results of systematic investigation into a specific topic, problem, or question. It is based on evidence gathered through research and aims to contribute to existing knowledge by offering analysis, interpretation, or new findings.</w:t>
      </w:r>
    </w:p>
    <w:p w:rsidR="00000000" w:rsidDel="00000000" w:rsidP="00000000" w:rsidRDefault="00000000" w:rsidRPr="00000000" w14:paraId="00000009">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papers are characterised by:</w:t>
      </w:r>
    </w:p>
    <w:p w:rsidR="00000000" w:rsidDel="00000000" w:rsidP="00000000" w:rsidRDefault="00000000" w:rsidRPr="00000000" w14:paraId="0000000A">
      <w:pPr>
        <w:numPr>
          <w:ilvl w:val="0"/>
          <w:numId w:val="1"/>
        </w:numPr>
        <w:spacing w:before="28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Objectivity </w:t>
      </w:r>
    </w:p>
    <w:p w:rsidR="00000000" w:rsidDel="00000000" w:rsidP="00000000" w:rsidRDefault="00000000" w:rsidRPr="00000000" w14:paraId="0000000B">
      <w:pPr>
        <w:numPr>
          <w:ilvl w:val="0"/>
          <w:numId w:val="1"/>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Evidence-based reasoning </w:t>
      </w:r>
    </w:p>
    <w:p w:rsidR="00000000" w:rsidDel="00000000" w:rsidP="00000000" w:rsidRDefault="00000000" w:rsidRPr="00000000" w14:paraId="0000000C">
      <w:pPr>
        <w:numPr>
          <w:ilvl w:val="0"/>
          <w:numId w:val="1"/>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Systematic methodology </w:t>
      </w:r>
    </w:p>
    <w:p w:rsidR="00000000" w:rsidDel="00000000" w:rsidP="00000000" w:rsidRDefault="00000000" w:rsidRPr="00000000" w14:paraId="0000000D">
      <w:pPr>
        <w:numPr>
          <w:ilvl w:val="0"/>
          <w:numId w:val="1"/>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Critical analysis </w:t>
      </w:r>
    </w:p>
    <w:p w:rsidR="00000000" w:rsidDel="00000000" w:rsidP="00000000" w:rsidRDefault="00000000" w:rsidRPr="00000000" w14:paraId="0000000E">
      <w:pPr>
        <w:numPr>
          <w:ilvl w:val="0"/>
          <w:numId w:val="1"/>
        </w:numPr>
        <w:spacing w:after="28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Proper citation and referencing </w:t>
      </w:r>
    </w:p>
    <w:p w:rsidR="00000000" w:rsidDel="00000000" w:rsidP="00000000" w:rsidRDefault="00000000" w:rsidRPr="00000000" w14:paraId="0000000F">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primary purpose of a research paper is not merely to describe information but to analyse, evaluate, and contribute to scholarly discourse.</w:t>
      </w:r>
    </w:p>
    <w:p w:rsidR="00000000" w:rsidDel="00000000" w:rsidP="00000000" w:rsidRDefault="00000000" w:rsidRPr="00000000" w14:paraId="00000010">
      <w:pPr>
        <w:pStyle w:val="Heading1"/>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Importance of Research Paper</w:t>
      </w:r>
    </w:p>
    <w:p w:rsidR="00000000" w:rsidDel="00000000" w:rsidP="00000000" w:rsidRDefault="00000000" w:rsidRPr="00000000" w14:paraId="00000011">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papers play a crucial role in academic, professional, and societal development. They serve as a systematic means of investigating issues, generating new knowledge, and contributing to existing scholarship. A well-written research paper not only demonstrates a researcher’s understanding of a subject but also provides valuable insights that can influence policy, practice, and future studies.</w:t>
      </w:r>
    </w:p>
    <w:p w:rsidR="00000000" w:rsidDel="00000000" w:rsidP="00000000" w:rsidRDefault="00000000" w:rsidRPr="00000000" w14:paraId="00000012">
      <w:pPr>
        <w:pStyle w:val="Heading2"/>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1. Contributes to Knowledge Creation</w:t>
      </w:r>
    </w:p>
    <w:p w:rsidR="00000000" w:rsidDel="00000000" w:rsidP="00000000" w:rsidRDefault="00000000" w:rsidRPr="00000000" w14:paraId="00000013">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One of the primary purposes of a research paper is to expand the existing body of knowledge. Through careful investigation and analysis, researchers identify new facts, perspectives, and solutions to problems. Research papers help fill gaps in existing literature and advance understanding in various fields of study.</w:t>
      </w:r>
    </w:p>
    <w:p w:rsidR="00000000" w:rsidDel="00000000" w:rsidP="00000000" w:rsidRDefault="00000000" w:rsidRPr="00000000" w14:paraId="00000014">
      <w:pPr>
        <w:pStyle w:val="Heading2"/>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2. Develops Critical Thinking Skills</w:t>
      </w:r>
    </w:p>
    <w:p w:rsidR="00000000" w:rsidDel="00000000" w:rsidP="00000000" w:rsidRDefault="00000000" w:rsidRPr="00000000" w14:paraId="00000015">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Writing a research paper requires researchers to evaluate information, compare different viewpoints, analyse evidence, and draw reasoned conclusions. This process enhances critical thinking and enables individuals to approach complex issues with a more analytical and objective mindset.</w:t>
      </w:r>
    </w:p>
    <w:p w:rsidR="00000000" w:rsidDel="00000000" w:rsidP="00000000" w:rsidRDefault="00000000" w:rsidRPr="00000000" w14:paraId="00000016">
      <w:pPr>
        <w:pStyle w:val="Heading2"/>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3. Promotes Evidence-Based Decision Making</w:t>
      </w:r>
    </w:p>
    <w:p w:rsidR="00000000" w:rsidDel="00000000" w:rsidP="00000000" w:rsidRDefault="00000000" w:rsidRPr="00000000" w14:paraId="00000017">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papers provide reliable and evidence-based information that can guide decision-making. Governments, organisations, legal institutions, and businesses often rely on research findings when formulating policies, developing strategies, or addressing societal challenges.</w:t>
      </w:r>
    </w:p>
    <w:p w:rsidR="00000000" w:rsidDel="00000000" w:rsidP="00000000" w:rsidRDefault="00000000" w:rsidRPr="00000000" w14:paraId="00000018">
      <w:pPr>
        <w:pStyle w:val="Heading2"/>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4. Enhances Academic and Professional Growth</w:t>
      </w:r>
    </w:p>
    <w:p w:rsidR="00000000" w:rsidDel="00000000" w:rsidP="00000000" w:rsidRDefault="00000000" w:rsidRPr="00000000" w14:paraId="00000019">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 students and scholars, research papers are an essential part of academic development. They improve research abilities, writing skills, analytical reasoning, and subject-matter expertise. In professional settings, research publications can enhance credibility, career opportunities, and recognition within a field.</w:t>
      </w:r>
    </w:p>
    <w:p w:rsidR="00000000" w:rsidDel="00000000" w:rsidP="00000000" w:rsidRDefault="00000000" w:rsidRPr="00000000" w14:paraId="0000001A">
      <w:pPr>
        <w:pStyle w:val="Heading2"/>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5. Encourages Problem-Solving</w:t>
      </w:r>
    </w:p>
    <w:p w:rsidR="00000000" w:rsidDel="00000000" w:rsidP="00000000" w:rsidRDefault="00000000" w:rsidRPr="00000000" w14:paraId="0000001B">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papers often focus on identifying and addressing specific problems. By examining the causes, effects, and possible solutions to an issue, research contributes to the development of practical recommendations and innovative approaches for solving real-world challenges.</w:t>
      </w:r>
    </w:p>
    <w:p w:rsidR="00000000" w:rsidDel="00000000" w:rsidP="00000000" w:rsidRDefault="00000000" w:rsidRPr="00000000" w14:paraId="0000001C">
      <w:pPr>
        <w:pStyle w:val="Heading2"/>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6. Supports Legal and Policy Development</w:t>
      </w:r>
    </w:p>
    <w:p w:rsidR="00000000" w:rsidDel="00000000" w:rsidP="00000000" w:rsidRDefault="00000000" w:rsidRPr="00000000" w14:paraId="0000001D">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legal and public policy fields, research papers play a significant role in evaluating existing laws, identifying legal gaps, and proposing reforms. Legislators, courts, policymakers, and legal practitioners frequently rely on scholarly research to understand emerging issues and improve legal frameworks.</w:t>
      </w:r>
    </w:p>
    <w:p w:rsidR="00000000" w:rsidDel="00000000" w:rsidP="00000000" w:rsidRDefault="00000000" w:rsidRPr="00000000" w14:paraId="0000001E">
      <w:pPr>
        <w:pStyle w:val="Heading2"/>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7. Improves Communication Skills</w:t>
      </w:r>
    </w:p>
    <w:p w:rsidR="00000000" w:rsidDel="00000000" w:rsidP="00000000" w:rsidRDefault="00000000" w:rsidRPr="00000000" w14:paraId="0000001F">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Preparing a research paper requires the clear and logical presentation of ideas. Researchers learn how to </w:t>
      </w:r>
      <w:r w:rsidDel="00000000" w:rsidR="00000000" w:rsidRPr="00000000">
        <w:rPr>
          <w:rFonts w:ascii="Georgia" w:cs="Georgia" w:eastAsia="Georgia" w:hAnsi="Georgia"/>
          <w:sz w:val="24"/>
          <w:szCs w:val="24"/>
          <w:rtl w:val="0"/>
        </w:rPr>
        <w:t xml:space="preserve">organise</w:t>
      </w:r>
      <w:r w:rsidDel="00000000" w:rsidR="00000000" w:rsidRPr="00000000">
        <w:rPr>
          <w:rFonts w:ascii="Georgia" w:cs="Georgia" w:eastAsia="Georgia" w:hAnsi="Georgia"/>
          <w:sz w:val="24"/>
          <w:szCs w:val="24"/>
          <w:rtl w:val="0"/>
        </w:rPr>
        <w:t xml:space="preserve"> information, construct persuasive arguments, and communicate complex concepts effectively. These skills are valuable in both academic and professional environments.</w:t>
      </w:r>
    </w:p>
    <w:p w:rsidR="00000000" w:rsidDel="00000000" w:rsidP="00000000" w:rsidRDefault="00000000" w:rsidRPr="00000000" w14:paraId="00000020">
      <w:pPr>
        <w:pStyle w:val="Heading2"/>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8. Encourages Intellectual Curiosity</w:t>
      </w:r>
    </w:p>
    <w:p w:rsidR="00000000" w:rsidDel="00000000" w:rsidP="00000000" w:rsidRDefault="00000000" w:rsidRPr="00000000" w14:paraId="00000021">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fosters a culture of inquiry and lifelong learning. It motivates individuals to ask questions, explore new ideas, and seek deeper understanding of topics that impact society, technology, law, science, and human behaviour.</w:t>
      </w:r>
    </w:p>
    <w:p w:rsidR="00000000" w:rsidDel="00000000" w:rsidP="00000000" w:rsidRDefault="00000000" w:rsidRPr="00000000" w14:paraId="00000022">
      <w:pPr>
        <w:pStyle w:val="Heading2"/>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9. Provides a Foundation for Future Research</w:t>
      </w:r>
    </w:p>
    <w:p w:rsidR="00000000" w:rsidDel="00000000" w:rsidP="00000000" w:rsidRDefault="00000000" w:rsidRPr="00000000" w14:paraId="00000023">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Every research paper contributes to the broader academic conversation. Future researchers often build upon previous studies, using existing findings as a foundation for further investigation. In this way, research papers facilitate continuous learning and advancement in knowledge.</w:t>
      </w:r>
    </w:p>
    <w:p w:rsidR="00000000" w:rsidDel="00000000" w:rsidP="00000000" w:rsidRDefault="00000000" w:rsidRPr="00000000" w14:paraId="00000024">
      <w:pPr>
        <w:pStyle w:val="Heading2"/>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10. Addresses Societal Challenges</w:t>
      </w:r>
    </w:p>
    <w:p w:rsidR="00000000" w:rsidDel="00000000" w:rsidP="00000000" w:rsidRDefault="00000000" w:rsidRPr="00000000" w14:paraId="00000025">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papers help society understand and respond to important issues such as climate change, public health, technological innovation, human rights, cybercrime, artificial intelligence, and social inequality. By providing evidence-based insights, research supports informed public discourse and meaningful change.</w:t>
      </w:r>
    </w:p>
    <w:p w:rsidR="00000000" w:rsidDel="00000000" w:rsidP="00000000" w:rsidRDefault="00000000" w:rsidRPr="00000000" w14:paraId="00000026">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7">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8">
      <w:pPr>
        <w:pStyle w:val="Heading1"/>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What Does the IMRAD and Legal Research Format Teach?</w:t>
      </w:r>
    </w:p>
    <w:p w:rsidR="00000000" w:rsidDel="00000000" w:rsidP="00000000" w:rsidRDefault="00000000" w:rsidRPr="00000000" w14:paraId="00000029">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is not merely the process of collecting information; it is a systematic method of investigating a problem, generating knowledge, and communicating findings in a structured manner. To ensure clarity, consistency, and academic rigour, researchers follow established research writing formats. Among the most widely recognised formats are the IMRAD format and the</w:t>
      </w:r>
      <w:r w:rsidDel="00000000" w:rsidR="00000000" w:rsidRPr="00000000">
        <w:rPr>
          <w:rFonts w:ascii="Georgia" w:cs="Georgia" w:eastAsia="Georgia" w:hAnsi="Georgia"/>
          <w:b w:val="1"/>
          <w:bCs w:val="1"/>
          <w:sz w:val="24"/>
          <w:szCs w:val="24"/>
          <w:rtl w:val="0"/>
        </w:rPr>
        <w:t xml:space="preserve"> </w:t>
      </w:r>
      <w:r w:rsidDel="00000000" w:rsidR="00000000" w:rsidRPr="00000000">
        <w:rPr>
          <w:rFonts w:ascii="Georgia" w:cs="Georgia" w:eastAsia="Georgia" w:hAnsi="Georgia"/>
          <w:sz w:val="24"/>
          <w:szCs w:val="24"/>
          <w:rtl w:val="0"/>
        </w:rPr>
        <w:t xml:space="preserve">Legal Research Format. These frameworks provide researchers with a logical structure for organising their work and presenting their findings effectively.</w:t>
      </w:r>
    </w:p>
    <w:p w:rsidR="00000000" w:rsidDel="00000000" w:rsidP="00000000" w:rsidRDefault="00000000" w:rsidRPr="00000000" w14:paraId="0000002A">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significance of these formats lies in their ability to transform complex research into a coherent and understandable document. By following a standardised structure, researchers can present their objectives, methodologies, analyses, and conclusions in a way that facilitates comprehension, evaluation, and future scholarly inquiry. While the IMRAD format is predominantly used in scientific and empirical research, the Legal Research Format is specifically designed to accommodate the analytical and doctrinal nature of legal studies.</w:t>
      </w:r>
    </w:p>
    <w:p w:rsidR="00000000" w:rsidDel="00000000" w:rsidP="00000000" w:rsidRDefault="00000000" w:rsidRPr="00000000" w14:paraId="0000002B">
      <w:pPr>
        <w:pStyle w:val="Heading1"/>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Understanding the IMRAD Format</w:t>
      </w:r>
    </w:p>
    <w:p w:rsidR="00000000" w:rsidDel="00000000" w:rsidP="00000000" w:rsidRDefault="00000000" w:rsidRPr="00000000" w14:paraId="0000002C">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IMRAD format is one of the most widely accepted structures for academic and scientific research papers. The acronym IMRAD</w:t>
      </w:r>
      <w:r w:rsidDel="00000000" w:rsidR="00000000" w:rsidRPr="00000000">
        <w:rPr>
          <w:rFonts w:ascii="Georgia" w:cs="Georgia" w:eastAsia="Georgia" w:hAnsi="Georgia"/>
          <w:b w:val="1"/>
          <w:bCs w:val="1"/>
          <w:sz w:val="24"/>
          <w:szCs w:val="24"/>
          <w:rtl w:val="0"/>
        </w:rPr>
        <w:t xml:space="preserve"> </w:t>
      </w:r>
      <w:r w:rsidDel="00000000" w:rsidR="00000000" w:rsidRPr="00000000">
        <w:rPr>
          <w:rFonts w:ascii="Georgia" w:cs="Georgia" w:eastAsia="Georgia" w:hAnsi="Georgia"/>
          <w:sz w:val="24"/>
          <w:szCs w:val="24"/>
          <w:rtl w:val="0"/>
        </w:rPr>
        <w:t xml:space="preserve">stands for Introduction, Methods, Results, and Discussion</w:t>
      </w:r>
      <w:r w:rsidDel="00000000" w:rsidR="00000000" w:rsidRPr="00000000">
        <w:rPr>
          <w:rFonts w:ascii="Georgia" w:cs="Georgia" w:eastAsia="Georgia" w:hAnsi="Georgia"/>
          <w:b w:val="1"/>
          <w:bCs w:val="1"/>
          <w:sz w:val="24"/>
          <w:szCs w:val="24"/>
          <w:rtl w:val="0"/>
        </w:rPr>
        <w:t xml:space="preserve">.</w:t>
      </w:r>
      <w:r w:rsidDel="00000000" w:rsidR="00000000" w:rsidRPr="00000000">
        <w:rPr>
          <w:rFonts w:ascii="Georgia" w:cs="Georgia" w:eastAsia="Georgia" w:hAnsi="Georgia"/>
          <w:sz w:val="24"/>
          <w:szCs w:val="24"/>
          <w:rtl w:val="0"/>
        </w:rPr>
        <w:t xml:space="preserve"> This format provides a systematic approach to presenting research by guiding readers through the entire research process in a logical sequence.</w:t>
      </w:r>
    </w:p>
    <w:p w:rsidR="00000000" w:rsidDel="00000000" w:rsidP="00000000" w:rsidRDefault="00000000" w:rsidRPr="00000000" w14:paraId="0000002D">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IMRAD structure teaches researchers how to identify a problem, explain the methodology used to investigate it, present findings objectively, and interpret the significance of those findings. By following this format, researchers learn to communicate their work in a manner that is transparent, </w:t>
      </w:r>
      <w:r w:rsidDel="00000000" w:rsidR="00000000" w:rsidRPr="00000000">
        <w:rPr>
          <w:rFonts w:ascii="Georgia" w:cs="Georgia" w:eastAsia="Georgia" w:hAnsi="Georgia"/>
          <w:sz w:val="24"/>
          <w:szCs w:val="24"/>
          <w:rtl w:val="0"/>
        </w:rPr>
        <w:t xml:space="preserve">organise</w:t>
      </w:r>
      <w:r w:rsidDel="00000000" w:rsidR="00000000" w:rsidRPr="00000000">
        <w:rPr>
          <w:rFonts w:ascii="Georgia" w:cs="Georgia" w:eastAsia="Georgia" w:hAnsi="Georgia"/>
          <w:sz w:val="24"/>
          <w:szCs w:val="24"/>
          <w:rtl w:val="0"/>
        </w:rPr>
        <w:t xml:space="preserve">d, and easily understandable.</w:t>
      </w:r>
    </w:p>
    <w:p w:rsidR="00000000" w:rsidDel="00000000" w:rsidP="00000000" w:rsidRDefault="00000000" w:rsidRPr="00000000" w14:paraId="0000002E">
      <w:pPr>
        <w:spacing w:after="280" w:before="280" w:line="276"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Introduction</w:t>
      </w:r>
      <w:r w:rsidDel="00000000" w:rsidR="00000000" w:rsidRPr="00000000">
        <w:rPr>
          <w:rFonts w:ascii="Georgia" w:cs="Georgia" w:eastAsia="Georgia" w:hAnsi="Georgia"/>
          <w:sz w:val="24"/>
          <w:szCs w:val="24"/>
          <w:rtl w:val="0"/>
        </w:rPr>
        <w:t xml:space="preserve">:</w:t>
      </w:r>
      <w:r w:rsidDel="00000000" w:rsidR="00000000" w:rsidRPr="00000000">
        <w:rPr>
          <w:rFonts w:ascii="Georgia" w:cs="Georgia" w:eastAsia="Georgia" w:hAnsi="Georgia"/>
          <w:color w:val="000000"/>
          <w:sz w:val="24"/>
          <w:szCs w:val="24"/>
          <w:rtl w:val="0"/>
        </w:rPr>
        <w:t xml:space="preserve"> The Introduction section teaches researchers how to establish the context of their study. It requires them to explain the background of the research topic, identify the research problem, state the objectives of the study, and justify its significance. Through this section, researchers learn the importance of framing a research question and demonstrating why the study is necessary.</w:t>
      </w:r>
    </w:p>
    <w:p w:rsidR="00000000" w:rsidDel="00000000" w:rsidP="00000000" w:rsidRDefault="00000000" w:rsidRPr="00000000" w14:paraId="0000002F">
      <w:pPr>
        <w:pStyle w:val="Heading3"/>
        <w:spacing w:after="0" w:before="40" w:line="276" w:lineRule="auto"/>
        <w:jc w:val="both"/>
        <w:rPr>
          <w:rFonts w:ascii="Georgia" w:cs="Georgia" w:eastAsia="Georgia" w:hAnsi="Georgia"/>
          <w:color w:val="0a2f40"/>
          <w:sz w:val="24"/>
          <w:szCs w:val="24"/>
        </w:rPr>
      </w:pPr>
      <w:r w:rsidDel="00000000" w:rsidR="00000000" w:rsidRPr="00000000">
        <w:rPr>
          <w:rtl w:val="0"/>
        </w:rPr>
      </w:r>
    </w:p>
    <w:p w:rsidR="00000000" w:rsidDel="00000000" w:rsidP="00000000" w:rsidRDefault="00000000" w:rsidRPr="00000000" w14:paraId="00000030">
      <w:pPr>
        <w:pStyle w:val="Heading3"/>
        <w:spacing w:after="0" w:before="40" w:line="276"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Methods: The Methods section teaches researchers how to describe the procedures and techniques used to conduct the study. This includes explaining the research design, data collection methods, sampling techniques, and analytical tools. The section emphasises transparency and reproducibility, allowing other researchers to understand and potentially replicate the study.</w:t>
      </w:r>
    </w:p>
    <w:p w:rsidR="00000000" w:rsidDel="00000000" w:rsidP="00000000" w:rsidRDefault="00000000" w:rsidRPr="00000000" w14:paraId="00000031">
      <w:pPr>
        <w:jc w:val="both"/>
        <w:rPr/>
      </w:pPr>
      <w:r w:rsidDel="00000000" w:rsidR="00000000" w:rsidRPr="00000000">
        <w:rPr>
          <w:rtl w:val="0"/>
        </w:rPr>
      </w:r>
    </w:p>
    <w:p w:rsidR="00000000" w:rsidDel="00000000" w:rsidP="00000000" w:rsidRDefault="00000000" w:rsidRPr="00000000" w14:paraId="00000032">
      <w:pPr>
        <w:pStyle w:val="Heading3"/>
        <w:spacing w:after="0" w:before="40" w:line="276"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Results: The Results section teaches researchers how to present their findings objectively without introducing personal interpretations or biases. It focuses on reporting data, observations, and outcomes in a clear and </w:t>
      </w:r>
      <w:r w:rsidDel="00000000" w:rsidR="00000000" w:rsidRPr="00000000">
        <w:rPr>
          <w:rFonts w:ascii="Georgia" w:cs="Georgia" w:eastAsia="Georgia" w:hAnsi="Georgia"/>
          <w:color w:val="000000"/>
          <w:sz w:val="24"/>
          <w:szCs w:val="24"/>
          <w:rtl w:val="0"/>
        </w:rPr>
        <w:t xml:space="preserve">organise</w:t>
      </w:r>
      <w:r w:rsidDel="00000000" w:rsidR="00000000" w:rsidRPr="00000000">
        <w:rPr>
          <w:rFonts w:ascii="Georgia" w:cs="Georgia" w:eastAsia="Georgia" w:hAnsi="Georgia"/>
          <w:color w:val="000000"/>
          <w:sz w:val="24"/>
          <w:szCs w:val="24"/>
          <w:rtl w:val="0"/>
        </w:rPr>
        <w:t xml:space="preserve">d manner. Researchers learn the importance of accuracy and neutrality when communicating research findings.</w:t>
      </w:r>
    </w:p>
    <w:p w:rsidR="00000000" w:rsidDel="00000000" w:rsidP="00000000" w:rsidRDefault="00000000" w:rsidRPr="00000000" w14:paraId="00000033">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4">
      <w:pPr>
        <w:pStyle w:val="Heading3"/>
        <w:spacing w:after="0" w:before="40" w:line="276"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Discussion: The Discussion section teaches researchers how to analyse and interpret their findings. It encourages critical thinking by requiring researchers to explain the implications of their results, compare them with existing literature, identify limitations, and suggest future research directions. This section helps researchers understand how individual studies contribute to broader academic knowledge.</w:t>
      </w:r>
    </w:p>
    <w:p w:rsidR="00000000" w:rsidDel="00000000" w:rsidP="00000000" w:rsidRDefault="00000000" w:rsidRPr="00000000" w14:paraId="00000035">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6">
      <w:pPr>
        <w:pStyle w:val="Heading3"/>
        <w:spacing w:after="0" w:before="40" w:line="276" w:lineRule="auto"/>
        <w:jc w:val="both"/>
        <w:rPr>
          <w:rFonts w:ascii="Georgia" w:cs="Georgia" w:eastAsia="Georgia" w:hAnsi="Georgia"/>
          <w:color w:val="000000"/>
          <w:sz w:val="24"/>
          <w:szCs w:val="24"/>
        </w:rPr>
      </w:pPr>
      <w:r w:rsidDel="00000000" w:rsidR="00000000" w:rsidRPr="00000000">
        <w:rPr>
          <w:rFonts w:ascii="Georgia" w:cs="Georgia" w:eastAsia="Georgia" w:hAnsi="Georgia"/>
          <w:b w:val="1"/>
          <w:bCs w:val="1"/>
          <w:color w:val="000000"/>
          <w:sz w:val="24"/>
          <w:szCs w:val="24"/>
          <w:rtl w:val="0"/>
        </w:rPr>
        <w:t xml:space="preserve">Educational Value of IMRAD        </w:t>
      </w:r>
      <w:r w:rsidDel="00000000" w:rsidR="00000000" w:rsidRPr="00000000">
        <w:rPr>
          <w:rFonts w:ascii="Georgia" w:cs="Georgia" w:eastAsia="Georgia" w:hAnsi="Georgia"/>
          <w:color w:val="000000"/>
          <w:sz w:val="24"/>
          <w:szCs w:val="24"/>
          <w:rtl w:val="0"/>
        </w:rPr>
        <w:t xml:space="preserve">                                                                                </w:t>
      </w:r>
    </w:p>
    <w:p w:rsidR="00000000" w:rsidDel="00000000" w:rsidP="00000000" w:rsidRDefault="00000000" w:rsidRPr="00000000" w14:paraId="00000037">
      <w:pPr>
        <w:pStyle w:val="Heading3"/>
        <w:spacing w:after="0" w:before="40" w:line="276" w:lineRule="auto"/>
        <w:jc w:val="both"/>
        <w:rPr>
          <w:rFonts w:ascii="Georgia" w:cs="Georgia" w:eastAsia="Georgia" w:hAnsi="Georgia"/>
          <w:color w:val="000000"/>
          <w:sz w:val="24"/>
          <w:szCs w:val="24"/>
        </w:rPr>
      </w:pPr>
      <w:r w:rsidDel="00000000" w:rsidR="00000000" w:rsidRPr="00000000">
        <w:rPr>
          <w:rtl w:val="0"/>
        </w:rPr>
      </w:r>
    </w:p>
    <w:p w:rsidR="00000000" w:rsidDel="00000000" w:rsidP="00000000" w:rsidRDefault="00000000" w:rsidRPr="00000000" w14:paraId="00000038">
      <w:pPr>
        <w:pStyle w:val="Heading3"/>
        <w:spacing w:after="0" w:before="40" w:line="276"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The IMRAD format teaches several essential research skills, including:</w:t>
      </w:r>
    </w:p>
    <w:p w:rsidR="00000000" w:rsidDel="00000000" w:rsidP="00000000" w:rsidRDefault="00000000" w:rsidRPr="00000000" w14:paraId="00000039">
      <w:pPr>
        <w:numPr>
          <w:ilvl w:val="0"/>
          <w:numId w:val="10"/>
        </w:numPr>
        <w:spacing w:before="28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Systematic organisation of information. </w:t>
      </w:r>
    </w:p>
    <w:p w:rsidR="00000000" w:rsidDel="00000000" w:rsidP="00000000" w:rsidRDefault="00000000" w:rsidRPr="00000000" w14:paraId="0000003A">
      <w:pPr>
        <w:numPr>
          <w:ilvl w:val="0"/>
          <w:numId w:val="10"/>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Evidence-based reasoning and analysis. </w:t>
      </w:r>
    </w:p>
    <w:p w:rsidR="00000000" w:rsidDel="00000000" w:rsidP="00000000" w:rsidRDefault="00000000" w:rsidRPr="00000000" w14:paraId="0000003B">
      <w:pPr>
        <w:numPr>
          <w:ilvl w:val="0"/>
          <w:numId w:val="10"/>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Clear and concise academic communication. </w:t>
      </w:r>
    </w:p>
    <w:p w:rsidR="00000000" w:rsidDel="00000000" w:rsidP="00000000" w:rsidRDefault="00000000" w:rsidRPr="00000000" w14:paraId="0000003C">
      <w:pPr>
        <w:numPr>
          <w:ilvl w:val="0"/>
          <w:numId w:val="10"/>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Critical evaluation of findings. </w:t>
      </w:r>
    </w:p>
    <w:p w:rsidR="00000000" w:rsidDel="00000000" w:rsidP="00000000" w:rsidRDefault="00000000" w:rsidRPr="00000000" w14:paraId="0000003D">
      <w:pPr>
        <w:numPr>
          <w:ilvl w:val="0"/>
          <w:numId w:val="10"/>
        </w:numPr>
        <w:spacing w:after="28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Ethical and transparent reporting of research. </w:t>
      </w:r>
    </w:p>
    <w:p w:rsidR="00000000" w:rsidDel="00000000" w:rsidP="00000000" w:rsidRDefault="00000000" w:rsidRPr="00000000" w14:paraId="0000003E">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As a result, the IMRAD format remains a cornerstone of scientific and empirical research writing across numerous disciplines.</w:t>
      </w:r>
    </w:p>
    <w:p w:rsidR="00000000" w:rsidDel="00000000" w:rsidP="00000000" w:rsidRDefault="00000000" w:rsidRPr="00000000" w14:paraId="0000003F">
      <w:pPr>
        <w:pStyle w:val="Heading1"/>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Understanding the Legal Research Format</w:t>
      </w:r>
    </w:p>
    <w:p w:rsidR="00000000" w:rsidDel="00000000" w:rsidP="00000000" w:rsidRDefault="00000000" w:rsidRPr="00000000" w14:paraId="00000040">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w:t>
      </w:r>
      <w:r w:rsidDel="00000000" w:rsidR="00000000" w:rsidRPr="00000000">
        <w:rPr>
          <w:rFonts w:ascii="Georgia" w:cs="Georgia" w:eastAsia="Georgia" w:hAnsi="Georgia"/>
          <w:sz w:val="24"/>
          <w:szCs w:val="24"/>
          <w:rtl w:val="0"/>
        </w:rPr>
        <w:t xml:space="preserve">egal research primarily focuses on interpreting, analysing, and evaluating legal principles, statutes, judicial decisions, and public policies. Consequently, legal scholarship often follows a different structure that accommodates the unique nature of legal inquiry.</w:t>
      </w:r>
    </w:p>
    <w:p w:rsidR="00000000" w:rsidDel="00000000" w:rsidP="00000000" w:rsidRDefault="00000000" w:rsidRPr="00000000" w14:paraId="00000041">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Legal Research Format teaches researchers how to investigate legal issues systematically and develop persuasive, evidence-based legal arguments. Rather than relying primarily on empirical data, legal research emphasises doctrinal analysis, case law examination, statutory interpretation, and comparative legal studies.</w:t>
      </w:r>
    </w:p>
    <w:p w:rsidR="00000000" w:rsidDel="00000000" w:rsidP="00000000" w:rsidRDefault="00000000" w:rsidRPr="00000000" w14:paraId="00000042">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typical legal research paper includes the following components:</w:t>
      </w:r>
    </w:p>
    <w:p w:rsidR="00000000" w:rsidDel="00000000" w:rsidP="00000000" w:rsidRDefault="00000000" w:rsidRPr="00000000" w14:paraId="00000043">
      <w:pPr>
        <w:numPr>
          <w:ilvl w:val="0"/>
          <w:numId w:val="9"/>
        </w:numPr>
        <w:spacing w:before="28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Introduction </w:t>
      </w:r>
    </w:p>
    <w:p w:rsidR="00000000" w:rsidDel="00000000" w:rsidP="00000000" w:rsidRDefault="00000000" w:rsidRPr="00000000" w14:paraId="00000044">
      <w:pPr>
        <w:numPr>
          <w:ilvl w:val="0"/>
          <w:numId w:val="9"/>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Literature Review </w:t>
      </w:r>
    </w:p>
    <w:p w:rsidR="00000000" w:rsidDel="00000000" w:rsidP="00000000" w:rsidRDefault="00000000" w:rsidRPr="00000000" w14:paraId="00000045">
      <w:pPr>
        <w:numPr>
          <w:ilvl w:val="0"/>
          <w:numId w:val="9"/>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Questions </w:t>
      </w:r>
    </w:p>
    <w:p w:rsidR="00000000" w:rsidDel="00000000" w:rsidP="00000000" w:rsidRDefault="00000000" w:rsidRPr="00000000" w14:paraId="00000046">
      <w:pPr>
        <w:numPr>
          <w:ilvl w:val="0"/>
          <w:numId w:val="9"/>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Objectives </w:t>
      </w:r>
    </w:p>
    <w:p w:rsidR="00000000" w:rsidDel="00000000" w:rsidP="00000000" w:rsidRDefault="00000000" w:rsidRPr="00000000" w14:paraId="00000047">
      <w:pPr>
        <w:numPr>
          <w:ilvl w:val="0"/>
          <w:numId w:val="9"/>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Methodology </w:t>
      </w:r>
    </w:p>
    <w:p w:rsidR="00000000" w:rsidDel="00000000" w:rsidP="00000000" w:rsidRDefault="00000000" w:rsidRPr="00000000" w14:paraId="00000048">
      <w:pPr>
        <w:numPr>
          <w:ilvl w:val="0"/>
          <w:numId w:val="9"/>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Framework Analysis </w:t>
      </w:r>
    </w:p>
    <w:p w:rsidR="00000000" w:rsidDel="00000000" w:rsidP="00000000" w:rsidRDefault="00000000" w:rsidRPr="00000000" w14:paraId="00000049">
      <w:pPr>
        <w:numPr>
          <w:ilvl w:val="0"/>
          <w:numId w:val="9"/>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Judicial Analysis </w:t>
      </w:r>
    </w:p>
    <w:p w:rsidR="00000000" w:rsidDel="00000000" w:rsidP="00000000" w:rsidRDefault="00000000" w:rsidRPr="00000000" w14:paraId="0000004A">
      <w:pPr>
        <w:numPr>
          <w:ilvl w:val="0"/>
          <w:numId w:val="9"/>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Comparative Analysis </w:t>
      </w:r>
    </w:p>
    <w:p w:rsidR="00000000" w:rsidDel="00000000" w:rsidP="00000000" w:rsidRDefault="00000000" w:rsidRPr="00000000" w14:paraId="0000004B">
      <w:pPr>
        <w:numPr>
          <w:ilvl w:val="0"/>
          <w:numId w:val="9"/>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Findings </w:t>
      </w:r>
    </w:p>
    <w:p w:rsidR="00000000" w:rsidDel="00000000" w:rsidP="00000000" w:rsidRDefault="00000000" w:rsidRPr="00000000" w14:paraId="0000004C">
      <w:pPr>
        <w:numPr>
          <w:ilvl w:val="0"/>
          <w:numId w:val="9"/>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Recommendations </w:t>
      </w:r>
    </w:p>
    <w:p w:rsidR="00000000" w:rsidDel="00000000" w:rsidP="00000000" w:rsidRDefault="00000000" w:rsidRPr="00000000" w14:paraId="0000004D">
      <w:pPr>
        <w:numPr>
          <w:ilvl w:val="0"/>
          <w:numId w:val="9"/>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Conclusion </w:t>
      </w:r>
    </w:p>
    <w:p w:rsidR="00000000" w:rsidDel="00000000" w:rsidP="00000000" w:rsidRDefault="00000000" w:rsidRPr="00000000" w14:paraId="0000004E">
      <w:pPr>
        <w:numPr>
          <w:ilvl w:val="0"/>
          <w:numId w:val="9"/>
        </w:numPr>
        <w:spacing w:after="28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Bibliography </w:t>
      </w:r>
    </w:p>
    <w:p w:rsidR="00000000" w:rsidDel="00000000" w:rsidP="00000000" w:rsidRDefault="00000000" w:rsidRPr="00000000" w14:paraId="0000004F">
      <w:pPr>
        <w:spacing w:after="280" w:line="276" w:lineRule="auto"/>
        <w:ind w:left="0" w:firstLine="0"/>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color w:val="000000"/>
          <w:sz w:val="24"/>
          <w:szCs w:val="24"/>
          <w:rtl w:val="0"/>
        </w:rPr>
        <w:t xml:space="preserve">What the Legal Research Format Teaches</w:t>
      </w:r>
      <w:r w:rsidDel="00000000" w:rsidR="00000000" w:rsidRPr="00000000">
        <w:rPr>
          <w:rtl w:val="0"/>
        </w:rPr>
      </w:r>
    </w:p>
    <w:p w:rsidR="00000000" w:rsidDel="00000000" w:rsidP="00000000" w:rsidRDefault="00000000" w:rsidRPr="00000000" w14:paraId="00000050">
      <w:pPr>
        <w:spacing w:after="280" w:line="276" w:lineRule="auto"/>
        <w:ind w:left="0" w:firstLine="0"/>
        <w:jc w:val="both"/>
        <w:rPr>
          <w:rFonts w:ascii="Georgia" w:cs="Georgia" w:eastAsia="Georgia" w:hAnsi="Georgia"/>
          <w:sz w:val="24"/>
          <w:szCs w:val="24"/>
        </w:rPr>
      </w:pPr>
      <w:r w:rsidDel="00000000" w:rsidR="00000000" w:rsidRPr="00000000">
        <w:rPr>
          <w:rFonts w:ascii="Georgia" w:cs="Georgia" w:eastAsia="Georgia" w:hAnsi="Georgia"/>
          <w:color w:val="000000"/>
          <w:sz w:val="24"/>
          <w:szCs w:val="24"/>
          <w:rtl w:val="0"/>
        </w:rPr>
        <w:t xml:space="preserve">The legal research format develops several critical academic and professional competencies</w:t>
      </w:r>
      <w:r w:rsidDel="00000000" w:rsidR="00000000" w:rsidRPr="00000000">
        <w:rPr>
          <w:rtl w:val="0"/>
        </w:rPr>
      </w:r>
    </w:p>
    <w:p w:rsidR="00000000" w:rsidDel="00000000" w:rsidP="00000000" w:rsidRDefault="00000000" w:rsidRPr="00000000" w14:paraId="00000051">
      <w:pPr>
        <w:numPr>
          <w:ilvl w:val="0"/>
          <w:numId w:val="3"/>
        </w:numPr>
        <w:spacing w:after="0" w:afterAutospacing="0" w:line="276" w:lineRule="auto"/>
        <w:ind w:left="720" w:hanging="360"/>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u w:val="single"/>
          <w:rtl w:val="0"/>
        </w:rPr>
        <w:t xml:space="preserve">Legal Reasoning and Interpretation - </w:t>
      </w:r>
      <w:r w:rsidDel="00000000" w:rsidR="00000000" w:rsidRPr="00000000">
        <w:rPr>
          <w:rFonts w:ascii="Georgia" w:cs="Georgia" w:eastAsia="Georgia" w:hAnsi="Georgia"/>
          <w:color w:val="000000"/>
          <w:sz w:val="24"/>
          <w:szCs w:val="24"/>
          <w:rtl w:val="0"/>
        </w:rPr>
        <w:t xml:space="preserve">Researchers learn how to interpret constitutional provisions, statutes, regulations, and judicial precedents. This process enhances their understanding of legal principles and their practical application.</w:t>
      </w:r>
      <w:r w:rsidDel="00000000" w:rsidR="00000000" w:rsidRPr="00000000">
        <w:rPr>
          <w:rtl w:val="0"/>
        </w:rPr>
      </w:r>
    </w:p>
    <w:p w:rsidR="00000000" w:rsidDel="00000000" w:rsidP="00000000" w:rsidRDefault="00000000" w:rsidRPr="00000000" w14:paraId="00000052">
      <w:pPr>
        <w:numPr>
          <w:ilvl w:val="0"/>
          <w:numId w:val="3"/>
        </w:numPr>
        <w:spacing w:after="0" w:afterAutospacing="0" w:line="276" w:lineRule="auto"/>
        <w:ind w:left="720" w:hanging="360"/>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u w:val="single"/>
          <w:rtl w:val="0"/>
        </w:rPr>
        <w:t xml:space="preserve">Analytical Thinking</w:t>
      </w:r>
      <w:r w:rsidDel="00000000" w:rsidR="00000000" w:rsidRPr="00000000">
        <w:rPr>
          <w:rFonts w:ascii="Georgia" w:cs="Georgia" w:eastAsia="Georgia" w:hAnsi="Georgia"/>
          <w:color w:val="000000"/>
          <w:sz w:val="24"/>
          <w:szCs w:val="24"/>
          <w:rtl w:val="0"/>
        </w:rPr>
        <w:t xml:space="preserve"> -Legal research requires the examination of multiple perspectives and competing interpretations. Researchers learn to critically evaluate legal arguments and assess the strengths and weaknesses of existing legal frameworks</w:t>
      </w:r>
      <w:r w:rsidDel="00000000" w:rsidR="00000000" w:rsidRPr="00000000">
        <w:rPr>
          <w:rFonts w:ascii="Georgia" w:cs="Georgia" w:eastAsia="Georgia" w:hAnsi="Georgia"/>
          <w:i w:val="1"/>
          <w:iCs w:val="1"/>
          <w:color w:val="000000"/>
          <w:sz w:val="24"/>
          <w:szCs w:val="24"/>
          <w:rtl w:val="0"/>
        </w:rPr>
        <w:t xml:space="preserve">.</w:t>
      </w:r>
      <w:r w:rsidDel="00000000" w:rsidR="00000000" w:rsidRPr="00000000">
        <w:rPr>
          <w:rtl w:val="0"/>
        </w:rPr>
      </w:r>
    </w:p>
    <w:p w:rsidR="00000000" w:rsidDel="00000000" w:rsidP="00000000" w:rsidRDefault="00000000" w:rsidRPr="00000000" w14:paraId="00000053">
      <w:pPr>
        <w:numPr>
          <w:ilvl w:val="0"/>
          <w:numId w:val="3"/>
        </w:numPr>
        <w:spacing w:after="0" w:afterAutospacing="0" w:line="276" w:lineRule="auto"/>
        <w:ind w:left="720" w:hanging="360"/>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u w:val="single"/>
          <w:rtl w:val="0"/>
        </w:rPr>
        <w:t xml:space="preserve">Case Law Analysis </w:t>
      </w:r>
      <w:r w:rsidDel="00000000" w:rsidR="00000000" w:rsidRPr="00000000">
        <w:rPr>
          <w:rFonts w:ascii="Georgia" w:cs="Georgia" w:eastAsia="Georgia" w:hAnsi="Georgia"/>
          <w:color w:val="000000"/>
          <w:sz w:val="24"/>
          <w:szCs w:val="24"/>
          <w:rtl w:val="0"/>
        </w:rPr>
        <w:t xml:space="preserve">- A significant component of legal research involves studying judicial decisions. Researchers learn how courts interpret laws, resolve disputes, and establish legal precedents</w:t>
      </w:r>
      <w:r w:rsidDel="00000000" w:rsidR="00000000" w:rsidRPr="00000000">
        <w:rPr>
          <w:rFonts w:ascii="Georgia" w:cs="Georgia" w:eastAsia="Georgia" w:hAnsi="Georgia"/>
          <w:i w:val="1"/>
          <w:iCs w:val="1"/>
          <w:color w:val="000000"/>
          <w:sz w:val="24"/>
          <w:szCs w:val="24"/>
          <w:rtl w:val="0"/>
        </w:rPr>
        <w:t xml:space="preserve">.</w:t>
      </w:r>
      <w:r w:rsidDel="00000000" w:rsidR="00000000" w:rsidRPr="00000000">
        <w:rPr>
          <w:rtl w:val="0"/>
        </w:rPr>
      </w:r>
    </w:p>
    <w:p w:rsidR="00000000" w:rsidDel="00000000" w:rsidP="00000000" w:rsidRDefault="00000000" w:rsidRPr="00000000" w14:paraId="00000054">
      <w:pPr>
        <w:numPr>
          <w:ilvl w:val="0"/>
          <w:numId w:val="3"/>
        </w:numPr>
        <w:spacing w:after="0" w:afterAutospacing="0" w:line="276" w:lineRule="auto"/>
        <w:ind w:left="720" w:hanging="360"/>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u w:val="single"/>
          <w:rtl w:val="0"/>
        </w:rPr>
        <w:t xml:space="preserve">Identification of Legal Gaps</w:t>
      </w:r>
      <w:r w:rsidDel="00000000" w:rsidR="00000000" w:rsidRPr="00000000">
        <w:rPr>
          <w:rFonts w:ascii="Georgia" w:cs="Georgia" w:eastAsia="Georgia" w:hAnsi="Georgia"/>
          <w:color w:val="000000"/>
          <w:sz w:val="24"/>
          <w:szCs w:val="24"/>
          <w:rtl w:val="0"/>
        </w:rPr>
        <w:t xml:space="preserve"> -Legal research teaches scholars how to identify ambiguities, inconsistencies, and deficiencies within existing legal systems. This skill is particularly important for policy development and legal reform</w:t>
      </w:r>
      <w:r w:rsidDel="00000000" w:rsidR="00000000" w:rsidRPr="00000000">
        <w:rPr>
          <w:rFonts w:ascii="Georgia" w:cs="Georgia" w:eastAsia="Georgia" w:hAnsi="Georgia"/>
          <w:i w:val="1"/>
          <w:iCs w:val="1"/>
          <w:color w:val="000000"/>
          <w:sz w:val="24"/>
          <w:szCs w:val="24"/>
          <w:rtl w:val="0"/>
        </w:rPr>
        <w:t xml:space="preserve">.</w:t>
      </w:r>
      <w:r w:rsidDel="00000000" w:rsidR="00000000" w:rsidRPr="00000000">
        <w:rPr>
          <w:rtl w:val="0"/>
        </w:rPr>
      </w:r>
    </w:p>
    <w:p w:rsidR="00000000" w:rsidDel="00000000" w:rsidP="00000000" w:rsidRDefault="00000000" w:rsidRPr="00000000" w14:paraId="00000055">
      <w:pPr>
        <w:numPr>
          <w:ilvl w:val="0"/>
          <w:numId w:val="3"/>
        </w:numPr>
        <w:spacing w:after="0" w:afterAutospacing="0" w:line="276" w:lineRule="auto"/>
        <w:ind w:left="720" w:hanging="360"/>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u w:val="single"/>
          <w:rtl w:val="0"/>
        </w:rPr>
        <w:t xml:space="preserve">Development of Policy Recommendations</w:t>
      </w:r>
      <w:r w:rsidDel="00000000" w:rsidR="00000000" w:rsidRPr="00000000">
        <w:rPr>
          <w:rFonts w:ascii="Georgia" w:cs="Georgia" w:eastAsia="Georgia" w:hAnsi="Georgia"/>
          <w:color w:val="000000"/>
          <w:sz w:val="24"/>
          <w:szCs w:val="24"/>
          <w:rtl w:val="0"/>
        </w:rPr>
        <w:t xml:space="preserve"> -Through critical analysis, researchers learn how to propose practical solutions and reforms to address legal and regulatory challenges.</w:t>
      </w:r>
      <w:r w:rsidDel="00000000" w:rsidR="00000000" w:rsidRPr="00000000">
        <w:rPr>
          <w:rtl w:val="0"/>
        </w:rPr>
      </w:r>
    </w:p>
    <w:p w:rsidR="00000000" w:rsidDel="00000000" w:rsidP="00000000" w:rsidRDefault="00000000" w:rsidRPr="00000000" w14:paraId="00000056">
      <w:pPr>
        <w:numPr>
          <w:ilvl w:val="0"/>
          <w:numId w:val="3"/>
        </w:numPr>
        <w:spacing w:after="280" w:line="276" w:lineRule="auto"/>
        <w:ind w:left="720" w:hanging="360"/>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u w:val="single"/>
          <w:rtl w:val="0"/>
        </w:rPr>
        <w:t xml:space="preserve">Professional Legal Writing</w:t>
      </w:r>
      <w:r w:rsidDel="00000000" w:rsidR="00000000" w:rsidRPr="00000000">
        <w:rPr>
          <w:rFonts w:ascii="Georgia" w:cs="Georgia" w:eastAsia="Georgia" w:hAnsi="Georgia"/>
          <w:color w:val="000000"/>
          <w:sz w:val="24"/>
          <w:szCs w:val="24"/>
          <w:rtl w:val="0"/>
        </w:rPr>
        <w:t xml:space="preserve"> -The legal research format teaches precision, clarity, logical argumentation, and proper citation practices, all of which are essential skills for legal professionals and academics.</w:t>
      </w:r>
    </w:p>
    <w:p w:rsidR="00000000" w:rsidDel="00000000" w:rsidP="00000000" w:rsidRDefault="00000000" w:rsidRPr="00000000" w14:paraId="00000057">
      <w:pPr>
        <w:pStyle w:val="Heading1"/>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Title</w:t>
      </w:r>
    </w:p>
    <w:p w:rsidR="00000000" w:rsidDel="00000000" w:rsidP="00000000" w:rsidRDefault="00000000" w:rsidRPr="00000000" w14:paraId="00000058">
      <w:pPr>
        <w:pStyle w:val="Heading2"/>
        <w:keepNext w:val="0"/>
        <w:keepLines w:val="0"/>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Meaning and Importance of a Research Title</w:t>
      </w:r>
    </w:p>
    <w:p w:rsidR="00000000" w:rsidDel="00000000" w:rsidP="00000000" w:rsidRDefault="00000000" w:rsidRPr="00000000" w14:paraId="00000059">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title is the first and most visible component of a research paper. It serves as a concise description of the study and provides readers with an immediate understanding of the research topic. A well-crafted title reflects the scope, focus, and purpose of the research while attracting the interest of potential readers.</w:t>
      </w:r>
    </w:p>
    <w:p w:rsidR="00000000" w:rsidDel="00000000" w:rsidP="00000000" w:rsidRDefault="00000000" w:rsidRPr="00000000" w14:paraId="0000005A">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title is often referred to as the "gateway" to the research paper because it creates the first impression and influences whether readers choose to engage with the study.</w:t>
      </w:r>
    </w:p>
    <w:p w:rsidR="00000000" w:rsidDel="00000000" w:rsidP="00000000" w:rsidRDefault="00000000" w:rsidRPr="00000000" w14:paraId="0000005B">
      <w:pPr>
        <w:pStyle w:val="Heading3"/>
        <w:spacing w:after="0" w:before="40" w:line="276" w:lineRule="auto"/>
        <w:jc w:val="both"/>
        <w:rPr>
          <w:rFonts w:ascii="Georgia" w:cs="Georgia" w:eastAsia="Georgia" w:hAnsi="Georgia"/>
          <w:color w:val="000000"/>
          <w:sz w:val="24"/>
          <w:szCs w:val="24"/>
        </w:rPr>
      </w:pPr>
      <w:r w:rsidDel="00000000" w:rsidR="00000000" w:rsidRPr="00000000">
        <w:rPr>
          <w:rFonts w:ascii="Georgia" w:cs="Georgia" w:eastAsia="Georgia" w:hAnsi="Georgia"/>
          <w:b w:val="1"/>
          <w:bCs w:val="1"/>
          <w:i w:val="1"/>
          <w:iCs w:val="1"/>
          <w:color w:val="000000"/>
          <w:sz w:val="24"/>
          <w:szCs w:val="24"/>
          <w:rtl w:val="0"/>
        </w:rPr>
        <w:t xml:space="preserve">Characteristics of an Effective Research Title    </w:t>
      </w:r>
      <w:r w:rsidDel="00000000" w:rsidR="00000000" w:rsidRPr="00000000">
        <w:rPr>
          <w:rFonts w:ascii="Georgia" w:cs="Georgia" w:eastAsia="Georgia" w:hAnsi="Georgia"/>
          <w:color w:val="000000"/>
          <w:sz w:val="24"/>
          <w:szCs w:val="24"/>
          <w:rtl w:val="0"/>
        </w:rPr>
        <w:t xml:space="preserve">                                                  </w:t>
      </w:r>
    </w:p>
    <w:p w:rsidR="00000000" w:rsidDel="00000000" w:rsidP="00000000" w:rsidRDefault="00000000" w:rsidRPr="00000000" w14:paraId="0000005C">
      <w:pPr>
        <w:pStyle w:val="Heading3"/>
        <w:spacing w:after="0" w:before="40" w:line="276"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 An effective research title should possess the following characteristics:</w:t>
      </w:r>
    </w:p>
    <w:p w:rsidR="00000000" w:rsidDel="00000000" w:rsidP="00000000" w:rsidRDefault="00000000" w:rsidRPr="00000000" w14:paraId="0000005D">
      <w:pPr>
        <w:numPr>
          <w:ilvl w:val="0"/>
          <w:numId w:val="11"/>
        </w:numPr>
        <w:spacing w:before="28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Clarity and precision. </w:t>
      </w:r>
    </w:p>
    <w:p w:rsidR="00000000" w:rsidDel="00000000" w:rsidP="00000000" w:rsidRDefault="00000000" w:rsidRPr="00000000" w14:paraId="0000005E">
      <w:pPr>
        <w:numPr>
          <w:ilvl w:val="0"/>
          <w:numId w:val="11"/>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Relevance to the research topic. </w:t>
      </w:r>
    </w:p>
    <w:p w:rsidR="00000000" w:rsidDel="00000000" w:rsidP="00000000" w:rsidRDefault="00000000" w:rsidRPr="00000000" w14:paraId="0000005F">
      <w:pPr>
        <w:numPr>
          <w:ilvl w:val="0"/>
          <w:numId w:val="11"/>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Conciseness without sacrificing meaning. </w:t>
      </w:r>
    </w:p>
    <w:p w:rsidR="00000000" w:rsidDel="00000000" w:rsidP="00000000" w:rsidRDefault="00000000" w:rsidRPr="00000000" w14:paraId="00000060">
      <w:pPr>
        <w:numPr>
          <w:ilvl w:val="0"/>
          <w:numId w:val="11"/>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Informative and descriptive nature. </w:t>
      </w:r>
    </w:p>
    <w:p w:rsidR="00000000" w:rsidDel="00000000" w:rsidP="00000000" w:rsidRDefault="00000000" w:rsidRPr="00000000" w14:paraId="00000061">
      <w:pPr>
        <w:numPr>
          <w:ilvl w:val="0"/>
          <w:numId w:val="11"/>
        </w:numPr>
        <w:spacing w:after="28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Academic and professional tone. </w:t>
      </w:r>
    </w:p>
    <w:p w:rsidR="00000000" w:rsidDel="00000000" w:rsidP="00000000" w:rsidRDefault="00000000" w:rsidRPr="00000000" w14:paraId="00000062">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good title avoids vague language and clearly communicates the central theme of the research.</w:t>
      </w:r>
    </w:p>
    <w:p w:rsidR="00000000" w:rsidDel="00000000" w:rsidP="00000000" w:rsidRDefault="00000000" w:rsidRPr="00000000" w14:paraId="00000063">
      <w:pPr>
        <w:pStyle w:val="Heading3"/>
        <w:spacing w:after="0" w:before="40" w:line="276" w:lineRule="auto"/>
        <w:jc w:val="both"/>
        <w:rPr>
          <w:rFonts w:ascii="Georgia" w:cs="Georgia" w:eastAsia="Georgia" w:hAnsi="Georgia"/>
          <w:color w:val="000000"/>
          <w:sz w:val="24"/>
          <w:szCs w:val="24"/>
        </w:rPr>
      </w:pPr>
      <w:r w:rsidDel="00000000" w:rsidR="00000000" w:rsidRPr="00000000">
        <w:rPr>
          <w:rFonts w:ascii="Georgia" w:cs="Georgia" w:eastAsia="Georgia" w:hAnsi="Georgia"/>
          <w:b w:val="1"/>
          <w:bCs w:val="1"/>
          <w:i w:val="1"/>
          <w:iCs w:val="1"/>
          <w:color w:val="000000"/>
          <w:sz w:val="24"/>
          <w:szCs w:val="24"/>
          <w:rtl w:val="0"/>
        </w:rPr>
        <w:t xml:space="preserve">Functions of a Research Title  </w:t>
      </w:r>
      <w:r w:rsidDel="00000000" w:rsidR="00000000" w:rsidRPr="00000000">
        <w:rPr>
          <w:rFonts w:ascii="Georgia" w:cs="Georgia" w:eastAsia="Georgia" w:hAnsi="Georgia"/>
          <w:color w:val="000000"/>
          <w:sz w:val="24"/>
          <w:szCs w:val="24"/>
          <w:rtl w:val="0"/>
        </w:rPr>
        <w:t xml:space="preserve">                                                                                          </w:t>
      </w:r>
    </w:p>
    <w:p w:rsidR="00000000" w:rsidDel="00000000" w:rsidP="00000000" w:rsidRDefault="00000000" w:rsidRPr="00000000" w14:paraId="00000064">
      <w:pPr>
        <w:pStyle w:val="Heading3"/>
        <w:spacing w:after="0" w:before="40" w:line="276"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The title performs several important functions:</w:t>
      </w:r>
    </w:p>
    <w:p w:rsidR="00000000" w:rsidDel="00000000" w:rsidP="00000000" w:rsidRDefault="00000000" w:rsidRPr="00000000" w14:paraId="00000065">
      <w:pPr>
        <w:numPr>
          <w:ilvl w:val="0"/>
          <w:numId w:val="2"/>
        </w:numPr>
        <w:spacing w:before="28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 identifies the subject matter of the study. </w:t>
      </w:r>
    </w:p>
    <w:p w:rsidR="00000000" w:rsidDel="00000000" w:rsidP="00000000" w:rsidRDefault="00000000" w:rsidRPr="00000000" w14:paraId="00000066">
      <w:pPr>
        <w:numPr>
          <w:ilvl w:val="0"/>
          <w:numId w:val="2"/>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 informs readers about the scope and focus of the research. </w:t>
      </w:r>
    </w:p>
    <w:p w:rsidR="00000000" w:rsidDel="00000000" w:rsidP="00000000" w:rsidRDefault="00000000" w:rsidRPr="00000000" w14:paraId="00000067">
      <w:pPr>
        <w:numPr>
          <w:ilvl w:val="0"/>
          <w:numId w:val="2"/>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 facilitates indexing and retrieval in academic databases. </w:t>
      </w:r>
    </w:p>
    <w:p w:rsidR="00000000" w:rsidDel="00000000" w:rsidP="00000000" w:rsidRDefault="00000000" w:rsidRPr="00000000" w14:paraId="00000068">
      <w:pPr>
        <w:numPr>
          <w:ilvl w:val="0"/>
          <w:numId w:val="2"/>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 enhances the visibility and accessibility of the research. </w:t>
      </w:r>
    </w:p>
    <w:p w:rsidR="00000000" w:rsidDel="00000000" w:rsidP="00000000" w:rsidRDefault="00000000" w:rsidRPr="00000000" w14:paraId="00000069">
      <w:pPr>
        <w:numPr>
          <w:ilvl w:val="0"/>
          <w:numId w:val="2"/>
        </w:numPr>
        <w:spacing w:after="28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 attracts the attention of scholars, researchers, and practitioners interested in the topic. </w:t>
      </w:r>
    </w:p>
    <w:p w:rsidR="00000000" w:rsidDel="00000000" w:rsidP="00000000" w:rsidRDefault="00000000" w:rsidRPr="00000000" w14:paraId="0000006A">
      <w:pPr>
        <w:spacing w:after="280" w:before="280" w:line="276" w:lineRule="auto"/>
        <w:ind w:left="360" w:firstLine="0"/>
        <w:jc w:val="both"/>
        <w:rPr>
          <w:rFonts w:ascii="Georgia" w:cs="Georgia" w:eastAsia="Georgia" w:hAnsi="Georgia"/>
          <w:b w:val="1"/>
          <w:bCs w:val="1"/>
          <w:sz w:val="24"/>
          <w:szCs w:val="24"/>
        </w:rPr>
      </w:pPr>
      <w:r w:rsidDel="00000000" w:rsidR="00000000" w:rsidRPr="00000000">
        <w:rPr>
          <w:rFonts w:ascii="Georgia" w:cs="Georgia" w:eastAsia="Georgia" w:hAnsi="Georgia"/>
          <w:sz w:val="24"/>
          <w:szCs w:val="24"/>
          <w:rtl w:val="0"/>
        </w:rPr>
        <w:t xml:space="preserve">This title clearly indicates the topic, scope, and purpose of the research paper.</w:t>
      </w:r>
      <w:r w:rsidDel="00000000" w:rsidR="00000000" w:rsidRPr="00000000">
        <w:rPr>
          <w:rtl w:val="0"/>
        </w:rPr>
      </w:r>
    </w:p>
    <w:p w:rsidR="00000000" w:rsidDel="00000000" w:rsidP="00000000" w:rsidRDefault="00000000" w:rsidRPr="00000000" w14:paraId="0000006B">
      <w:pPr>
        <w:pStyle w:val="Heading1"/>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Abstract</w:t>
      </w:r>
    </w:p>
    <w:p w:rsidR="00000000" w:rsidDel="00000000" w:rsidP="00000000" w:rsidRDefault="00000000" w:rsidRPr="00000000" w14:paraId="0000006C">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abstract is a concise summary of the entire research paper. It provides readers with a brief overview of the study, enabling them to understand its purpose, methodology, findings, and significance without reading the full document. Although it appears at the beginning of the paper, the abstract is usually written after the completion of the research because it summarises all major sections of the study. The abstract plays a crucial role in academic communication because it allows readers, reviewers, and researchers to quickly assess the relevance of the paper to their interests and research needs.</w:t>
      </w:r>
    </w:p>
    <w:p w:rsidR="00000000" w:rsidDel="00000000" w:rsidP="00000000" w:rsidRDefault="00000000" w:rsidRPr="00000000" w14:paraId="0000006D">
      <w:pPr>
        <w:pStyle w:val="Heading3"/>
        <w:spacing w:after="0" w:before="40" w:line="276" w:lineRule="auto"/>
        <w:jc w:val="both"/>
        <w:rPr>
          <w:rFonts w:ascii="Georgia" w:cs="Georgia" w:eastAsia="Georgia" w:hAnsi="Georgia"/>
          <w:color w:val="000000"/>
          <w:sz w:val="24"/>
          <w:szCs w:val="24"/>
        </w:rPr>
      </w:pPr>
      <w:r w:rsidDel="00000000" w:rsidR="00000000" w:rsidRPr="00000000">
        <w:rPr>
          <w:rFonts w:ascii="Georgia" w:cs="Georgia" w:eastAsia="Georgia" w:hAnsi="Georgia"/>
          <w:b w:val="1"/>
          <w:bCs w:val="1"/>
          <w:i w:val="1"/>
          <w:iCs w:val="1"/>
          <w:color w:val="000000"/>
          <w:sz w:val="24"/>
          <w:szCs w:val="24"/>
          <w:rtl w:val="0"/>
        </w:rPr>
        <w:t xml:space="preserve">Components of an Effective Abstract</w:t>
      </w:r>
      <w:r w:rsidDel="00000000" w:rsidR="00000000" w:rsidRPr="00000000">
        <w:rPr>
          <w:rFonts w:ascii="Georgia" w:cs="Georgia" w:eastAsia="Georgia" w:hAnsi="Georgia"/>
          <w:color w:val="000000"/>
          <w:sz w:val="24"/>
          <w:szCs w:val="24"/>
          <w:rtl w:val="0"/>
        </w:rPr>
        <w:t xml:space="preserve">                                                                            </w:t>
      </w:r>
    </w:p>
    <w:p w:rsidR="00000000" w:rsidDel="00000000" w:rsidP="00000000" w:rsidRDefault="00000000" w:rsidRPr="00000000" w14:paraId="0000006E">
      <w:pPr>
        <w:pStyle w:val="Heading3"/>
        <w:spacing w:after="0" w:before="40" w:line="276"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A standard research abstract generally includes five key elements:</w:t>
      </w:r>
    </w:p>
    <w:p w:rsidR="00000000" w:rsidDel="00000000" w:rsidP="00000000" w:rsidRDefault="00000000" w:rsidRPr="00000000" w14:paraId="0000006F">
      <w:pPr>
        <w:pStyle w:val="Heading4"/>
        <w:spacing w:after="0" w:before="40" w:line="276" w:lineRule="auto"/>
        <w:jc w:val="both"/>
        <w:rPr>
          <w:rFonts w:ascii="Georgia" w:cs="Georgia" w:eastAsia="Georgia" w:hAnsi="Georgia"/>
          <w:color w:val="000000"/>
        </w:rPr>
      </w:pPr>
      <w:r w:rsidDel="00000000" w:rsidR="00000000" w:rsidRPr="00000000">
        <w:rPr>
          <w:rFonts w:ascii="Georgia" w:cs="Georgia" w:eastAsia="Georgia" w:hAnsi="Georgia"/>
          <w:color w:val="000000"/>
          <w:u w:val="single"/>
          <w:rtl w:val="0"/>
        </w:rPr>
        <w:t xml:space="preserve">Research Problem</w:t>
      </w:r>
      <w:r w:rsidDel="00000000" w:rsidR="00000000" w:rsidRPr="00000000">
        <w:rPr>
          <w:rFonts w:ascii="Georgia" w:cs="Georgia" w:eastAsia="Georgia" w:hAnsi="Georgia"/>
          <w:color w:val="000000"/>
          <w:rtl w:val="0"/>
        </w:rPr>
        <w:t xml:space="preserve"> -A brief explanation of the issue, question, or topic being investigated.</w:t>
      </w:r>
    </w:p>
    <w:p w:rsidR="00000000" w:rsidDel="00000000" w:rsidP="00000000" w:rsidRDefault="00000000" w:rsidRPr="00000000" w14:paraId="00000070">
      <w:pPr>
        <w:pStyle w:val="Heading4"/>
        <w:spacing w:after="0" w:before="40" w:line="276" w:lineRule="auto"/>
        <w:jc w:val="both"/>
        <w:rPr>
          <w:rFonts w:ascii="Georgia" w:cs="Georgia" w:eastAsia="Georgia" w:hAnsi="Georgia"/>
          <w:color w:val="000000"/>
        </w:rPr>
      </w:pPr>
      <w:r w:rsidDel="00000000" w:rsidR="00000000" w:rsidRPr="00000000">
        <w:rPr>
          <w:rFonts w:ascii="Georgia" w:cs="Georgia" w:eastAsia="Georgia" w:hAnsi="Georgia"/>
          <w:color w:val="000000"/>
          <w:u w:val="single"/>
          <w:rtl w:val="0"/>
        </w:rPr>
        <w:t xml:space="preserve">Objectives</w:t>
      </w:r>
      <w:r w:rsidDel="00000000" w:rsidR="00000000" w:rsidRPr="00000000">
        <w:rPr>
          <w:rFonts w:ascii="Georgia" w:cs="Georgia" w:eastAsia="Georgia" w:hAnsi="Georgia"/>
          <w:color w:val="000000"/>
          <w:rtl w:val="0"/>
        </w:rPr>
        <w:t xml:space="preserve">- The aims and purposes of the research study.</w:t>
      </w:r>
    </w:p>
    <w:p w:rsidR="00000000" w:rsidDel="00000000" w:rsidP="00000000" w:rsidRDefault="00000000" w:rsidRPr="00000000" w14:paraId="00000071">
      <w:pPr>
        <w:pStyle w:val="Heading4"/>
        <w:spacing w:after="0" w:before="40" w:line="276" w:lineRule="auto"/>
        <w:jc w:val="both"/>
        <w:rPr>
          <w:rFonts w:ascii="Georgia" w:cs="Georgia" w:eastAsia="Georgia" w:hAnsi="Georgia"/>
          <w:color w:val="000000"/>
        </w:rPr>
      </w:pPr>
      <w:r w:rsidDel="00000000" w:rsidR="00000000" w:rsidRPr="00000000">
        <w:rPr>
          <w:rFonts w:ascii="Georgia" w:cs="Georgia" w:eastAsia="Georgia" w:hAnsi="Georgia"/>
          <w:color w:val="000000"/>
          <w:u w:val="single"/>
          <w:rtl w:val="0"/>
        </w:rPr>
        <w:t xml:space="preserve">Methodology</w:t>
      </w:r>
      <w:r w:rsidDel="00000000" w:rsidR="00000000" w:rsidRPr="00000000">
        <w:rPr>
          <w:rFonts w:ascii="Georgia" w:cs="Georgia" w:eastAsia="Georgia" w:hAnsi="Georgia"/>
          <w:color w:val="000000"/>
          <w:rtl w:val="0"/>
        </w:rPr>
        <w:t xml:space="preserve"> - A concise description of the methods, approaches, or sources used to conduct the research.</w:t>
      </w:r>
    </w:p>
    <w:p w:rsidR="00000000" w:rsidDel="00000000" w:rsidP="00000000" w:rsidRDefault="00000000" w:rsidRPr="00000000" w14:paraId="00000072">
      <w:pPr>
        <w:pStyle w:val="Heading4"/>
        <w:spacing w:after="0" w:before="40" w:line="276" w:lineRule="auto"/>
        <w:jc w:val="both"/>
        <w:rPr>
          <w:rFonts w:ascii="Georgia" w:cs="Georgia" w:eastAsia="Georgia" w:hAnsi="Georgia"/>
          <w:color w:val="000000"/>
        </w:rPr>
      </w:pPr>
      <w:r w:rsidDel="00000000" w:rsidR="00000000" w:rsidRPr="00000000">
        <w:rPr>
          <w:rFonts w:ascii="Georgia" w:cs="Georgia" w:eastAsia="Georgia" w:hAnsi="Georgia"/>
          <w:color w:val="000000"/>
          <w:u w:val="single"/>
          <w:rtl w:val="0"/>
        </w:rPr>
        <w:t xml:space="preserve">Findings</w:t>
      </w:r>
      <w:r w:rsidDel="00000000" w:rsidR="00000000" w:rsidRPr="00000000">
        <w:rPr>
          <w:rFonts w:ascii="Georgia" w:cs="Georgia" w:eastAsia="Georgia" w:hAnsi="Georgia"/>
          <w:color w:val="000000"/>
          <w:rtl w:val="0"/>
        </w:rPr>
        <w:t xml:space="preserve">-A summary of the major observations, arguments, or conclusions derived from the study.</w:t>
      </w:r>
    </w:p>
    <w:p w:rsidR="00000000" w:rsidDel="00000000" w:rsidP="00000000" w:rsidRDefault="00000000" w:rsidRPr="00000000" w14:paraId="00000073">
      <w:pPr>
        <w:pStyle w:val="Heading4"/>
        <w:spacing w:after="0" w:before="40" w:line="276" w:lineRule="auto"/>
        <w:jc w:val="both"/>
        <w:rPr>
          <w:rFonts w:ascii="Georgia" w:cs="Georgia" w:eastAsia="Georgia" w:hAnsi="Georgia"/>
          <w:color w:val="000000"/>
        </w:rPr>
      </w:pPr>
      <w:r w:rsidDel="00000000" w:rsidR="00000000" w:rsidRPr="00000000">
        <w:rPr>
          <w:rFonts w:ascii="Georgia" w:cs="Georgia" w:eastAsia="Georgia" w:hAnsi="Georgia"/>
          <w:color w:val="000000"/>
          <w:u w:val="single"/>
          <w:rtl w:val="0"/>
        </w:rPr>
        <w:t xml:space="preserve">Conclusion</w:t>
      </w:r>
      <w:r w:rsidDel="00000000" w:rsidR="00000000" w:rsidRPr="00000000">
        <w:rPr>
          <w:rFonts w:ascii="Georgia" w:cs="Georgia" w:eastAsia="Georgia" w:hAnsi="Georgia"/>
          <w:color w:val="000000"/>
          <w:rtl w:val="0"/>
        </w:rPr>
        <w:t xml:space="preserve">-The overall significance, implications, or contribution of the research.</w:t>
      </w:r>
    </w:p>
    <w:p w:rsidR="00000000" w:rsidDel="00000000" w:rsidP="00000000" w:rsidRDefault="00000000" w:rsidRPr="00000000" w14:paraId="00000074">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5">
      <w:pPr>
        <w:pStyle w:val="Heading3"/>
        <w:spacing w:after="0" w:before="40" w:line="276"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Importance of an Abstract</w:t>
      </w:r>
    </w:p>
    <w:p w:rsidR="00000000" w:rsidDel="00000000" w:rsidP="00000000" w:rsidRDefault="00000000" w:rsidRPr="00000000" w14:paraId="00000076">
      <w:pPr>
        <w:numPr>
          <w:ilvl w:val="0"/>
          <w:numId w:val="8"/>
        </w:numPr>
        <w:spacing w:before="28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 provides a concise overview of the research. </w:t>
      </w:r>
    </w:p>
    <w:p w:rsidR="00000000" w:rsidDel="00000000" w:rsidP="00000000" w:rsidRDefault="00000000" w:rsidRPr="00000000" w14:paraId="00000077">
      <w:pPr>
        <w:numPr>
          <w:ilvl w:val="0"/>
          <w:numId w:val="8"/>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 helps readers determine the relevance of the study. </w:t>
      </w:r>
    </w:p>
    <w:p w:rsidR="00000000" w:rsidDel="00000000" w:rsidP="00000000" w:rsidRDefault="00000000" w:rsidRPr="00000000" w14:paraId="00000078">
      <w:pPr>
        <w:numPr>
          <w:ilvl w:val="0"/>
          <w:numId w:val="8"/>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 improves the discoverability of research in databases and search engines. </w:t>
      </w:r>
    </w:p>
    <w:p w:rsidR="00000000" w:rsidDel="00000000" w:rsidP="00000000" w:rsidRDefault="00000000" w:rsidRPr="00000000" w14:paraId="00000079">
      <w:pPr>
        <w:numPr>
          <w:ilvl w:val="0"/>
          <w:numId w:val="8"/>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 assists journal editors and reviewers during the evaluation process. </w:t>
      </w:r>
    </w:p>
    <w:p w:rsidR="00000000" w:rsidDel="00000000" w:rsidP="00000000" w:rsidRDefault="00000000" w:rsidRPr="00000000" w14:paraId="0000007A">
      <w:pPr>
        <w:numPr>
          <w:ilvl w:val="0"/>
          <w:numId w:val="8"/>
        </w:numPr>
        <w:spacing w:after="28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 highlights the study's contribution to existing scholarship. </w:t>
      </w:r>
    </w:p>
    <w:p w:rsidR="00000000" w:rsidDel="00000000" w:rsidP="00000000" w:rsidRDefault="00000000" w:rsidRPr="00000000" w14:paraId="0000007B">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Because the abstract is often the first section read by scholars and researchers, it must be clear, accurate, and informative.</w:t>
      </w:r>
    </w:p>
    <w:p w:rsidR="00000000" w:rsidDel="00000000" w:rsidP="00000000" w:rsidRDefault="00000000" w:rsidRPr="00000000" w14:paraId="0000007C">
      <w:pPr>
        <w:pStyle w:val="Heading1"/>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Statement of the Problem</w:t>
      </w:r>
    </w:p>
    <w:p w:rsidR="00000000" w:rsidDel="00000000" w:rsidP="00000000" w:rsidRDefault="00000000" w:rsidRPr="00000000" w14:paraId="0000007D">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serves as the primary means through which knowledge is generated, analysed, and disseminated within academic and professional communities. Despite the increasing emphasis on research across disciplines, many students, early-career researchers, and even professionals encounter significant challenges in understanding how a research paper should be structured. While considerable attention is often given to research methodology and data collection, insufficient focus is placed on the organisation and presentation of research findings. As a result, many research papers fail to effectively communicate their purpose, methodology, analysis, and conclusions, thereby diminishing their academic value and impact.</w:t>
      </w:r>
    </w:p>
    <w:p w:rsidR="00000000" w:rsidDel="00000000" w:rsidP="00000000" w:rsidRDefault="00000000" w:rsidRPr="00000000" w14:paraId="0000007E">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structure of a research paper is not merely a formal requirement; it is a framework that facilitates logical thinking, systematic investigation, and effective communication. A well-structured paper enables readers to understand the research problem, follow the research process, evaluate the findings, and appreciate the significance of the study. Conversely, poor organisation can create confusion, reduce credibility, and hinder the dissemination of knowledge.</w:t>
      </w:r>
    </w:p>
    <w:p w:rsidR="00000000" w:rsidDel="00000000" w:rsidP="00000000" w:rsidRDefault="00000000" w:rsidRPr="00000000" w14:paraId="0000007F">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Different academic disciplines employ distinct research structures. For instance, scientific and empirical research commonly adopts the IMRAD (Introduction, Methods, Results, and Discussion) format, while legal research typically follows a doctrinal and analytical framework that emphasises legal principles, statutory interpretation, judicial analysis, and policy recommendations. However, many researchers remain unfamiliar with the rationale behind these structures and the purpose served by each component.</w:t>
      </w:r>
    </w:p>
    <w:p w:rsidR="00000000" w:rsidDel="00000000" w:rsidP="00000000" w:rsidRDefault="00000000" w:rsidRPr="00000000" w14:paraId="00000080">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Furthermore, the absence of comprehensive guidance regarding research paper structure often results in inconsistent academic writing practices. Researchers may struggle to distinguish between sections such as the introduction, literature review, methodology, findings, and conclusion, leading to overlap, repetition, and a lack of coherence. Such challenges can negatively affect the quality, readability, and scholarly contribution of research papers.</w:t>
      </w:r>
    </w:p>
    <w:p w:rsidR="00000000" w:rsidDel="00000000" w:rsidP="00000000" w:rsidRDefault="00000000" w:rsidRPr="00000000" w14:paraId="00000081">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light of these concerns, there is a need for a systematic examination of research paper structures and formats. Understanding the principles, components, and functions of research paper organisation is essential for enhancing academic writing skills and ensuring the effective communication of research findings. This study seeks to address this need by analysing research paper structure, exploring major research formats such as IMRAD and legal research frameworks, and examining the significance of each component in the research writing process.</w:t>
      </w:r>
    </w:p>
    <w:p w:rsidR="00000000" w:rsidDel="00000000" w:rsidP="00000000" w:rsidRDefault="00000000" w:rsidRPr="00000000" w14:paraId="00000082">
      <w:pPr>
        <w:pStyle w:val="Heading1"/>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Research Questions</w:t>
      </w:r>
    </w:p>
    <w:p w:rsidR="00000000" w:rsidDel="00000000" w:rsidP="00000000" w:rsidRDefault="00000000" w:rsidRPr="00000000" w14:paraId="00000083">
      <w:pPr>
        <w:pStyle w:val="Heading3"/>
        <w:spacing w:after="0" w:before="40" w:line="276" w:lineRule="auto"/>
        <w:jc w:val="both"/>
        <w:rPr>
          <w:rFonts w:ascii="Georgia" w:cs="Georgia" w:eastAsia="Georgia" w:hAnsi="Georgia"/>
          <w:color w:val="000000"/>
          <w:sz w:val="24"/>
          <w:szCs w:val="24"/>
        </w:rPr>
      </w:pPr>
      <w:r w:rsidDel="00000000" w:rsidR="00000000" w:rsidRPr="00000000">
        <w:rPr>
          <w:rFonts w:ascii="Georgia" w:cs="Georgia" w:eastAsia="Georgia" w:hAnsi="Georgia"/>
          <w:b w:val="1"/>
          <w:bCs w:val="1"/>
          <w:color w:val="000000"/>
          <w:sz w:val="24"/>
          <w:szCs w:val="24"/>
          <w:rtl w:val="0"/>
        </w:rPr>
        <w:t xml:space="preserve">Primary Research Question -</w:t>
      </w:r>
      <w:r w:rsidDel="00000000" w:rsidR="00000000" w:rsidRPr="00000000">
        <w:rPr>
          <w:rFonts w:ascii="Georgia" w:cs="Georgia" w:eastAsia="Georgia" w:hAnsi="Georgia"/>
          <w:color w:val="000000"/>
          <w:sz w:val="24"/>
          <w:szCs w:val="24"/>
          <w:rtl w:val="0"/>
        </w:rPr>
        <w:t xml:space="preserve">How does a structured research paper format contribute to the effective communication, organisation, and dissemination of academic knowledge?</w:t>
      </w:r>
    </w:p>
    <w:p w:rsidR="00000000" w:rsidDel="00000000" w:rsidP="00000000" w:rsidRDefault="00000000" w:rsidRPr="00000000" w14:paraId="00000084">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5">
      <w:pPr>
        <w:pStyle w:val="Heading3"/>
        <w:spacing w:after="0" w:before="40" w:line="276" w:lineRule="auto"/>
        <w:jc w:val="both"/>
        <w:rPr>
          <w:rFonts w:ascii="Georgia" w:cs="Georgia" w:eastAsia="Georgia" w:hAnsi="Georgia"/>
          <w:b w:val="1"/>
          <w:bCs w:val="1"/>
          <w:color w:val="000000"/>
          <w:sz w:val="24"/>
          <w:szCs w:val="24"/>
        </w:rPr>
      </w:pPr>
      <w:r w:rsidDel="00000000" w:rsidR="00000000" w:rsidRPr="00000000">
        <w:rPr>
          <w:rFonts w:ascii="Georgia" w:cs="Georgia" w:eastAsia="Georgia" w:hAnsi="Georgia"/>
          <w:b w:val="1"/>
          <w:bCs w:val="1"/>
          <w:color w:val="000000"/>
          <w:sz w:val="24"/>
          <w:szCs w:val="24"/>
          <w:rtl w:val="0"/>
        </w:rPr>
        <w:t xml:space="preserve">Secondary Research Questions</w:t>
      </w:r>
    </w:p>
    <w:p w:rsidR="00000000" w:rsidDel="00000000" w:rsidP="00000000" w:rsidRDefault="00000000" w:rsidRPr="00000000" w14:paraId="00000086">
      <w:pPr>
        <w:numPr>
          <w:ilvl w:val="0"/>
          <w:numId w:val="12"/>
        </w:numPr>
        <w:spacing w:before="28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What is a research paper, and what role does it play in academic and professional research? </w:t>
      </w:r>
    </w:p>
    <w:p w:rsidR="00000000" w:rsidDel="00000000" w:rsidP="00000000" w:rsidRDefault="00000000" w:rsidRPr="00000000" w14:paraId="00000087">
      <w:pPr>
        <w:numPr>
          <w:ilvl w:val="0"/>
          <w:numId w:val="12"/>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Why is a structured format essential for the quality and credibility of research papers? </w:t>
      </w:r>
    </w:p>
    <w:p w:rsidR="00000000" w:rsidDel="00000000" w:rsidP="00000000" w:rsidRDefault="00000000" w:rsidRPr="00000000" w14:paraId="00000088">
      <w:pPr>
        <w:numPr>
          <w:ilvl w:val="0"/>
          <w:numId w:val="12"/>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What are the major components of a research paper, and what functions do they serve? </w:t>
      </w:r>
    </w:p>
    <w:p w:rsidR="00000000" w:rsidDel="00000000" w:rsidP="00000000" w:rsidRDefault="00000000" w:rsidRPr="00000000" w14:paraId="00000089">
      <w:pPr>
        <w:numPr>
          <w:ilvl w:val="0"/>
          <w:numId w:val="12"/>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What is the IMRAD format, and how does it facilitate scientific and empirical research? </w:t>
      </w:r>
    </w:p>
    <w:p w:rsidR="00000000" w:rsidDel="00000000" w:rsidP="00000000" w:rsidRDefault="00000000" w:rsidRPr="00000000" w14:paraId="0000008A">
      <w:pPr>
        <w:numPr>
          <w:ilvl w:val="0"/>
          <w:numId w:val="12"/>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 does the legal research format differ from the IMRAD format in terms of structure and purpose? </w:t>
      </w:r>
    </w:p>
    <w:p w:rsidR="00000000" w:rsidDel="00000000" w:rsidP="00000000" w:rsidRDefault="00000000" w:rsidRPr="00000000" w14:paraId="0000008B">
      <w:pPr>
        <w:numPr>
          <w:ilvl w:val="0"/>
          <w:numId w:val="12"/>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What challenges do researchers commonly face in organising and presenting their research findings? </w:t>
      </w:r>
    </w:p>
    <w:p w:rsidR="00000000" w:rsidDel="00000000" w:rsidP="00000000" w:rsidRDefault="00000000" w:rsidRPr="00000000" w14:paraId="0000008C">
      <w:pPr>
        <w:numPr>
          <w:ilvl w:val="0"/>
          <w:numId w:val="12"/>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 can understanding research paper structure improve academic writing and scholarly communication? </w:t>
      </w:r>
    </w:p>
    <w:p w:rsidR="00000000" w:rsidDel="00000000" w:rsidP="00000000" w:rsidRDefault="00000000" w:rsidRPr="00000000" w14:paraId="0000008D">
      <w:pPr>
        <w:numPr>
          <w:ilvl w:val="0"/>
          <w:numId w:val="12"/>
        </w:numPr>
        <w:spacing w:after="28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What best practices should researchers adopt when preparing research papers for academic publication? </w:t>
      </w:r>
    </w:p>
    <w:p w:rsidR="00000000" w:rsidDel="00000000" w:rsidP="00000000" w:rsidRDefault="00000000" w:rsidRPr="00000000" w14:paraId="0000008E">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These questions provide a framework for examining the significance and practical application of research paper structures across disciplines.</w:t>
      </w:r>
    </w:p>
    <w:p w:rsidR="00000000" w:rsidDel="00000000" w:rsidP="00000000" w:rsidRDefault="00000000" w:rsidRPr="00000000" w14:paraId="0000008F">
      <w:pPr>
        <w:pStyle w:val="Heading1"/>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Research Objectives</w:t>
      </w:r>
    </w:p>
    <w:p w:rsidR="00000000" w:rsidDel="00000000" w:rsidP="00000000" w:rsidRDefault="00000000" w:rsidRPr="00000000" w14:paraId="00000090">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objectives of this study are designed to provide a comprehensive understanding of research paper structures and their significance in academic writing.</w:t>
      </w:r>
    </w:p>
    <w:p w:rsidR="00000000" w:rsidDel="00000000" w:rsidP="00000000" w:rsidRDefault="00000000" w:rsidRPr="00000000" w14:paraId="00000091">
      <w:pPr>
        <w:pStyle w:val="Heading3"/>
        <w:spacing w:after="0" w:before="40" w:line="276"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Primary Objective: To examine and explain the structure of research papers and analyse the importance of </w:t>
      </w:r>
      <w:r w:rsidDel="00000000" w:rsidR="00000000" w:rsidRPr="00000000">
        <w:rPr>
          <w:rFonts w:ascii="Georgia" w:cs="Georgia" w:eastAsia="Georgia" w:hAnsi="Georgia"/>
          <w:color w:val="000000"/>
          <w:sz w:val="24"/>
          <w:szCs w:val="24"/>
          <w:rtl w:val="0"/>
        </w:rPr>
        <w:t xml:space="preserve">organise</w:t>
      </w:r>
      <w:r w:rsidDel="00000000" w:rsidR="00000000" w:rsidRPr="00000000">
        <w:rPr>
          <w:rFonts w:ascii="Georgia" w:cs="Georgia" w:eastAsia="Georgia" w:hAnsi="Georgia"/>
          <w:color w:val="000000"/>
          <w:sz w:val="24"/>
          <w:szCs w:val="24"/>
          <w:rtl w:val="0"/>
        </w:rPr>
        <w:t xml:space="preserve">d research formats in academic and professional communication.</w:t>
      </w:r>
    </w:p>
    <w:p w:rsidR="00000000" w:rsidDel="00000000" w:rsidP="00000000" w:rsidRDefault="00000000" w:rsidRPr="00000000" w14:paraId="00000092">
      <w:pPr>
        <w:pStyle w:val="Heading3"/>
        <w:spacing w:after="0" w:before="40" w:line="276"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Specific Objectives</w:t>
      </w:r>
    </w:p>
    <w:p w:rsidR="00000000" w:rsidDel="00000000" w:rsidP="00000000" w:rsidRDefault="00000000" w:rsidRPr="00000000" w14:paraId="00000093">
      <w:pPr>
        <w:numPr>
          <w:ilvl w:val="0"/>
          <w:numId w:val="4"/>
        </w:numPr>
        <w:spacing w:before="28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 define the concept and purpose of a research paper. </w:t>
      </w:r>
    </w:p>
    <w:p w:rsidR="00000000" w:rsidDel="00000000" w:rsidP="00000000" w:rsidRDefault="00000000" w:rsidRPr="00000000" w14:paraId="00000094">
      <w:pPr>
        <w:numPr>
          <w:ilvl w:val="0"/>
          <w:numId w:val="4"/>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 examine the importance of research paper structure in facilitating clarity and coherence.</w:t>
      </w:r>
    </w:p>
    <w:p w:rsidR="00000000" w:rsidDel="00000000" w:rsidP="00000000" w:rsidRDefault="00000000" w:rsidRPr="00000000" w14:paraId="00000095">
      <w:pPr>
        <w:numPr>
          <w:ilvl w:val="0"/>
          <w:numId w:val="4"/>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 identify and explain the major components of a research paper. </w:t>
      </w:r>
    </w:p>
    <w:p w:rsidR="00000000" w:rsidDel="00000000" w:rsidP="00000000" w:rsidRDefault="00000000" w:rsidRPr="00000000" w14:paraId="00000096">
      <w:pPr>
        <w:numPr>
          <w:ilvl w:val="0"/>
          <w:numId w:val="4"/>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 analyse the IMRAD format and its application in scientific and empirical research. </w:t>
      </w:r>
    </w:p>
    <w:p w:rsidR="00000000" w:rsidDel="00000000" w:rsidP="00000000" w:rsidRDefault="00000000" w:rsidRPr="00000000" w14:paraId="00000097">
      <w:pPr>
        <w:numPr>
          <w:ilvl w:val="0"/>
          <w:numId w:val="4"/>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 examine the legal research format and its role in legal scholarship and policy analysis. </w:t>
      </w:r>
    </w:p>
    <w:p w:rsidR="00000000" w:rsidDel="00000000" w:rsidP="00000000" w:rsidRDefault="00000000" w:rsidRPr="00000000" w14:paraId="00000098">
      <w:pPr>
        <w:numPr>
          <w:ilvl w:val="0"/>
          <w:numId w:val="4"/>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 compare different research paper structures used across academic disciplines. </w:t>
      </w:r>
    </w:p>
    <w:p w:rsidR="00000000" w:rsidDel="00000000" w:rsidP="00000000" w:rsidRDefault="00000000" w:rsidRPr="00000000" w14:paraId="00000099">
      <w:pPr>
        <w:numPr>
          <w:ilvl w:val="0"/>
          <w:numId w:val="4"/>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 evaluate the educational and practical benefits of structured research writing. </w:t>
      </w:r>
    </w:p>
    <w:p w:rsidR="00000000" w:rsidDel="00000000" w:rsidP="00000000" w:rsidRDefault="00000000" w:rsidRPr="00000000" w14:paraId="0000009A">
      <w:pPr>
        <w:numPr>
          <w:ilvl w:val="0"/>
          <w:numId w:val="4"/>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 identify common challenges faced by researchers in organising research papers. </w:t>
      </w:r>
    </w:p>
    <w:p w:rsidR="00000000" w:rsidDel="00000000" w:rsidP="00000000" w:rsidRDefault="00000000" w:rsidRPr="00000000" w14:paraId="0000009B">
      <w:pPr>
        <w:numPr>
          <w:ilvl w:val="0"/>
          <w:numId w:val="4"/>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 provide guidance and best practices for preparing effective and professionally structured research papers. </w:t>
      </w:r>
    </w:p>
    <w:p w:rsidR="00000000" w:rsidDel="00000000" w:rsidP="00000000" w:rsidRDefault="00000000" w:rsidRPr="00000000" w14:paraId="0000009C">
      <w:pPr>
        <w:numPr>
          <w:ilvl w:val="0"/>
          <w:numId w:val="4"/>
        </w:numPr>
        <w:spacing w:after="28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 contribute to the understanding of academic writing standards and scholarly communication. </w:t>
      </w:r>
    </w:p>
    <w:p w:rsidR="00000000" w:rsidDel="00000000" w:rsidP="00000000" w:rsidRDefault="00000000" w:rsidRPr="00000000" w14:paraId="0000009D">
      <w:pPr>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sz w:val="24"/>
          <w:szCs w:val="24"/>
          <w:rtl w:val="0"/>
        </w:rPr>
        <w:t xml:space="preserve">The fulfilment of these objectives will provide a comprehensive framework for understanding research paper structures and their role in enhancing the quality of </w:t>
      </w:r>
      <w:r w:rsidDel="00000000" w:rsidR="00000000" w:rsidRPr="00000000">
        <w:rPr>
          <w:rtl w:val="0"/>
        </w:rPr>
      </w:r>
    </w:p>
    <w:p w:rsidR="00000000" w:rsidDel="00000000" w:rsidP="00000000" w:rsidRDefault="00000000" w:rsidRPr="00000000" w14:paraId="0000009E">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Literature Review</w:t>
      </w:r>
    </w:p>
    <w:p w:rsidR="00000000" w:rsidDel="00000000" w:rsidP="00000000" w:rsidRDefault="00000000" w:rsidRPr="00000000" w14:paraId="0000009F">
      <w:pPr>
        <w:pStyle w:val="Heading2"/>
        <w:keepNext w:val="0"/>
        <w:keepLines w:val="0"/>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Introduction to the Literature Review</w:t>
      </w:r>
    </w:p>
    <w:p w:rsidR="00000000" w:rsidDel="00000000" w:rsidP="00000000" w:rsidRDefault="00000000" w:rsidRPr="00000000" w14:paraId="000000A0">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structure of a research paper has long been recognised as a critical element of effective scholarly communication. Academic literature consistently emphasises that the quality of research depends not only on the originality of ideas or findings but also on how those ideas are </w:t>
      </w:r>
      <w:r w:rsidDel="00000000" w:rsidR="00000000" w:rsidRPr="00000000">
        <w:rPr>
          <w:rFonts w:ascii="Georgia" w:cs="Georgia" w:eastAsia="Georgia" w:hAnsi="Georgia"/>
          <w:sz w:val="24"/>
          <w:szCs w:val="24"/>
          <w:rtl w:val="0"/>
        </w:rPr>
        <w:t xml:space="preserve">organise</w:t>
      </w:r>
      <w:r w:rsidDel="00000000" w:rsidR="00000000" w:rsidRPr="00000000">
        <w:rPr>
          <w:rFonts w:ascii="Georgia" w:cs="Georgia" w:eastAsia="Georgia" w:hAnsi="Georgia"/>
          <w:sz w:val="24"/>
          <w:szCs w:val="24"/>
          <w:rtl w:val="0"/>
        </w:rPr>
        <w:t xml:space="preserve">d and presented. Researchers, educators, and academic institutions have therefore devoted considerable attention to developing standardised research formats that promote clarity, consistency, and accessibility.</w:t>
      </w:r>
    </w:p>
    <w:p w:rsidR="00000000" w:rsidDel="00000000" w:rsidP="00000000" w:rsidRDefault="00000000" w:rsidRPr="00000000" w14:paraId="000000A1">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literature on research paper structure examines various aspects of academic writing, including the organisation of research content, the purpose of different sections, disciplinary variations in formatting, and the role of structured writing in enhancing research quality.</w:t>
      </w:r>
    </w:p>
    <w:p w:rsidR="00000000" w:rsidDel="00000000" w:rsidP="00000000" w:rsidRDefault="00000000" w:rsidRPr="00000000" w14:paraId="000000A2">
      <w:pPr>
        <w:pStyle w:val="Heading2"/>
        <w:keepNext w:val="0"/>
        <w:keepLines w:val="0"/>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Evolution of Research Paper Structures</w:t>
      </w:r>
    </w:p>
    <w:p w:rsidR="00000000" w:rsidDel="00000000" w:rsidP="00000000" w:rsidRDefault="00000000" w:rsidRPr="00000000" w14:paraId="000000A3">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concept of structured academic writing evolved alongside the development of modern scientific inquiry and scholarly communication. Early academic works often lacked standardised formats, resulting in inconsistencies in presentation and interpretation. As research became increasingly specialised and collaborative, the need for uniformity in reporting research findings became evident.</w:t>
      </w:r>
    </w:p>
    <w:p w:rsidR="00000000" w:rsidDel="00000000" w:rsidP="00000000" w:rsidRDefault="00000000" w:rsidRPr="00000000" w14:paraId="000000A4">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Scholars have observed that standardised research formats emerged as a means of improving communication among researchers and facilitating the evaluation of scholarly work. The development of structured formats such as IMRAD represented an important milestone in the professionalisation of academic research.</w:t>
      </w:r>
    </w:p>
    <w:p w:rsidR="00000000" w:rsidDel="00000000" w:rsidP="00000000" w:rsidRDefault="00000000" w:rsidRPr="00000000" w14:paraId="000000A5">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literature suggests that structured formats enable readers to navigate complex information more efficiently and allow researchers to communicate their findings in a systematic and transparent manner.</w:t>
      </w:r>
    </w:p>
    <w:p w:rsidR="00000000" w:rsidDel="00000000" w:rsidP="00000000" w:rsidRDefault="00000000" w:rsidRPr="00000000" w14:paraId="000000A6">
      <w:pPr>
        <w:pStyle w:val="Heading2"/>
        <w:keepNext w:val="0"/>
        <w:keepLines w:val="0"/>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Literature on the IMRAD Format</w:t>
      </w:r>
    </w:p>
    <w:p w:rsidR="00000000" w:rsidDel="00000000" w:rsidP="00000000" w:rsidRDefault="00000000" w:rsidRPr="00000000" w14:paraId="000000A7">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IMRAD format has received extensive attention in academic literature and is widely regarded as the dominant structure for scientific and empirical research.</w:t>
      </w:r>
    </w:p>
    <w:p w:rsidR="00000000" w:rsidDel="00000000" w:rsidP="00000000" w:rsidRDefault="00000000" w:rsidRPr="00000000" w14:paraId="000000A8">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Studies examining the IMRAD framework highlight its effectiveness in organising research into a logical sequence. Scholars argue that the format mirrors the natural progression of the research process, beginning with the identification of a problem, followed by the methodology employed, the presentation of findings, and the interpretation of results.</w:t>
      </w:r>
    </w:p>
    <w:p w:rsidR="00000000" w:rsidDel="00000000" w:rsidP="00000000" w:rsidRDefault="00000000" w:rsidRPr="00000000" w14:paraId="000000A9">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Researchers have noted several advantages of the IMRAD structure:</w:t>
      </w:r>
    </w:p>
    <w:p w:rsidR="00000000" w:rsidDel="00000000" w:rsidP="00000000" w:rsidRDefault="00000000" w:rsidRPr="00000000" w14:paraId="000000AA">
      <w:pPr>
        <w:numPr>
          <w:ilvl w:val="0"/>
          <w:numId w:val="13"/>
        </w:numPr>
        <w:spacing w:before="28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Improved readability. </w:t>
      </w:r>
    </w:p>
    <w:p w:rsidR="00000000" w:rsidDel="00000000" w:rsidP="00000000" w:rsidRDefault="00000000" w:rsidRPr="00000000" w14:paraId="000000AB">
      <w:pPr>
        <w:numPr>
          <w:ilvl w:val="0"/>
          <w:numId w:val="13"/>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Enhanced transparency. </w:t>
      </w:r>
    </w:p>
    <w:p w:rsidR="00000000" w:rsidDel="00000000" w:rsidP="00000000" w:rsidRDefault="00000000" w:rsidRPr="00000000" w14:paraId="000000AC">
      <w:pPr>
        <w:numPr>
          <w:ilvl w:val="0"/>
          <w:numId w:val="13"/>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Greater consistency across publications. </w:t>
      </w:r>
    </w:p>
    <w:p w:rsidR="00000000" w:rsidDel="00000000" w:rsidP="00000000" w:rsidRDefault="00000000" w:rsidRPr="00000000" w14:paraId="000000AD">
      <w:pPr>
        <w:numPr>
          <w:ilvl w:val="0"/>
          <w:numId w:val="13"/>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Facilitation of peer review. </w:t>
      </w:r>
    </w:p>
    <w:p w:rsidR="00000000" w:rsidDel="00000000" w:rsidP="00000000" w:rsidRDefault="00000000" w:rsidRPr="00000000" w14:paraId="000000AE">
      <w:pPr>
        <w:numPr>
          <w:ilvl w:val="0"/>
          <w:numId w:val="13"/>
        </w:numPr>
        <w:spacing w:after="28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Increased accessibility for readers. </w:t>
      </w:r>
    </w:p>
    <w:p w:rsidR="00000000" w:rsidDel="00000000" w:rsidP="00000000" w:rsidRDefault="00000000" w:rsidRPr="00000000" w14:paraId="000000AF">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Academic literature further indicates that the widespread adoption of IMRAD has contributed significantly to the standardisation of scientific communication across disciplines.</w:t>
      </w:r>
    </w:p>
    <w:p w:rsidR="00000000" w:rsidDel="00000000" w:rsidP="00000000" w:rsidRDefault="00000000" w:rsidRPr="00000000" w14:paraId="000000B0">
      <w:pPr>
        <w:pStyle w:val="Heading2"/>
        <w:keepNext w:val="0"/>
        <w:keepLines w:val="0"/>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Literature on Legal Research Structures</w:t>
      </w:r>
    </w:p>
    <w:p w:rsidR="00000000" w:rsidDel="00000000" w:rsidP="00000000" w:rsidRDefault="00000000" w:rsidRPr="00000000" w14:paraId="000000B1">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scholars have emphasised that legal research differs fundamentally from empirical research due to its reliance on legal texts, judicial decisions, and normative analysis.</w:t>
      </w:r>
    </w:p>
    <w:p w:rsidR="00000000" w:rsidDel="00000000" w:rsidP="00000000" w:rsidRDefault="00000000" w:rsidRPr="00000000" w14:paraId="000000B2">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literature on legal research methodology highlights the importance of doctrinal analysis, statutory interpretation, case law examination, and comparative legal studies. Unlike the IMRAD format, legal research papers often employ structures that prioritise legal reasoning and critical analysis rather than experimental findings. Scholars argue that legal research structures provide flexibility while ensuring logical progression from problem identification to legal analysis and policy recommendations. Academic discussions emphasise that the effectiveness of legal scholarship depends heavily on the clear organisation of legal arguments and supporting authorities.</w:t>
      </w:r>
    </w:p>
    <w:p w:rsidR="00000000" w:rsidDel="00000000" w:rsidP="00000000" w:rsidRDefault="00000000" w:rsidRPr="00000000" w14:paraId="000000B3">
      <w:pPr>
        <w:spacing w:after="280" w:before="280" w:line="276" w:lineRule="auto"/>
        <w:jc w:val="both"/>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B4">
      <w:pPr>
        <w:pStyle w:val="Heading2"/>
        <w:keepNext w:val="0"/>
        <w:keepLines w:val="0"/>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Research Gap</w:t>
      </w:r>
    </w:p>
    <w:p w:rsidR="00000000" w:rsidDel="00000000" w:rsidP="00000000" w:rsidRDefault="00000000" w:rsidRPr="00000000" w14:paraId="000000B5">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Although extensive literature exists on academic writing and research methodologies, much of the available scholarship focuses on individual aspects of research rather than providing a comprehensive examination of research paper structures as a whole. Furthermore, many studies discuss scientific and legal research formats separately, with limited comparative analysis of their purposes, components, and applications.</w:t>
      </w:r>
    </w:p>
    <w:p w:rsidR="00000000" w:rsidDel="00000000" w:rsidP="00000000" w:rsidRDefault="00000000" w:rsidRPr="00000000" w14:paraId="000000B6">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There is therefore a need for a consolidated study that explains the structure of research papers, examines major research formats, and highlights the educational value of </w:t>
      </w:r>
      <w:r w:rsidDel="00000000" w:rsidR="00000000" w:rsidRPr="00000000">
        <w:rPr>
          <w:rFonts w:ascii="Georgia" w:cs="Georgia" w:eastAsia="Georgia" w:hAnsi="Georgia"/>
          <w:sz w:val="24"/>
          <w:szCs w:val="24"/>
          <w:rtl w:val="0"/>
        </w:rPr>
        <w:t xml:space="preserve">organise</w:t>
      </w:r>
      <w:r w:rsidDel="00000000" w:rsidR="00000000" w:rsidRPr="00000000">
        <w:rPr>
          <w:rFonts w:ascii="Georgia" w:cs="Georgia" w:eastAsia="Georgia" w:hAnsi="Georgia"/>
          <w:sz w:val="24"/>
          <w:szCs w:val="24"/>
          <w:rtl w:val="0"/>
        </w:rPr>
        <w:t xml:space="preserve">d academic writing. This research seeks to address that gap by providing a detailed and integrated analysis of research paper structures and their significance in scholarly communication.</w:t>
      </w:r>
    </w:p>
    <w:p w:rsidR="00000000" w:rsidDel="00000000" w:rsidP="00000000" w:rsidRDefault="00000000" w:rsidRPr="00000000" w14:paraId="000000B7">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B8">
      <w:pPr>
        <w:spacing w:after="280" w:before="280" w:line="276" w:lineRule="auto"/>
        <w:jc w:val="both"/>
        <w:rPr>
          <w:rFonts w:ascii="Georgia" w:cs="Georgia" w:eastAsia="Georgia" w:hAnsi="Georgia"/>
          <w:b w:val="1"/>
          <w:bCs w:val="1"/>
          <w:color w:val="3d85c6"/>
          <w:sz w:val="26"/>
          <w:szCs w:val="26"/>
        </w:rPr>
      </w:pPr>
      <w:r w:rsidDel="00000000" w:rsidR="00000000" w:rsidRPr="00000000">
        <w:rPr>
          <w:rFonts w:ascii="Georgia" w:cs="Georgia" w:eastAsia="Georgia" w:hAnsi="Georgia"/>
          <w:b w:val="1"/>
          <w:bCs w:val="1"/>
          <w:color w:val="3d85c6"/>
          <w:sz w:val="26"/>
          <w:szCs w:val="26"/>
          <w:rtl w:val="0"/>
        </w:rPr>
        <w:t xml:space="preserve">UNDERSTANDING RESEARCH METHODOLOGY</w:t>
      </w:r>
    </w:p>
    <w:p w:rsidR="00000000" w:rsidDel="00000000" w:rsidP="00000000" w:rsidRDefault="00000000" w:rsidRPr="00000000" w14:paraId="000000B9">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Introduction</w:t>
      </w:r>
    </w:p>
    <w:p w:rsidR="00000000" w:rsidDel="00000000" w:rsidP="00000000" w:rsidRDefault="00000000" w:rsidRPr="00000000" w14:paraId="000000BA">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methodology constitutes one of the most significant components of any academic study because it provides the framework through which research is conducted, evidence is collected, and conclusions are developed. In scholarly writing, methodology is not merely a technical requirement; rather, it serves as the intellectual foundation that ensures the credibility, reliability, and validity of the research process. The quality of a research paper is often determined not only by the significance of its findings but also by the transparency of the methods used to obtain them. Consequently, a clearly articulated methodology is essential for demonstrating that the research has been conducted systematically and in accordance with accepted academic standards.</w:t>
      </w:r>
    </w:p>
    <w:p w:rsidR="00000000" w:rsidDel="00000000" w:rsidP="00000000" w:rsidRDefault="00000000" w:rsidRPr="00000000" w14:paraId="000000BB">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concept of methodology extends beyond the simple description of research techniques. It encompasses the philosophical assumptions, research design, data collection strategies, analytical methods, and interpretative frameworks that guide the entire research process. Through methodology, researchers establish a logical connection between their research objectives and the conclusions ultimately reached. By explaining how information was gathered, evaluated, and interpreted, the methodology section allows readers to assess the study's reliability and determine whether its findings are supported by sufficient evidence.</w:t>
      </w:r>
    </w:p>
    <w:p w:rsidR="00000000" w:rsidDel="00000000" w:rsidP="00000000" w:rsidRDefault="00000000" w:rsidRPr="00000000" w14:paraId="000000BC">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the context of a study on research paper structures and academic writing, methodology is particularly important because the research seeks to examine the principles, frameworks, and conventions that govern scholarly communication. Such a study does not focus primarily on numerical measurements or statistical testing; rather, it aims to understand conceptual foundations, organisational structures, and methodological practices. Consequently, a qualitative and analytical approach provides the most appropriate framework for investigation.</w:t>
      </w:r>
    </w:p>
    <w:p w:rsidR="00000000" w:rsidDel="00000000" w:rsidP="00000000" w:rsidRDefault="00000000" w:rsidRPr="00000000" w14:paraId="000000BD">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sz w:val="24"/>
          <w:szCs w:val="24"/>
          <w:rtl w:val="0"/>
        </w:rPr>
        <w:t xml:space="preserve">The present study adopts a qualitative research methodology based on doctrinal and descriptive analysis. It seeks to examine existing literature concerning research paper structures, academic writing practices, methodological frameworks, and scholarly communication. Through systematic analysis of academic sources, the study aims to explain the significance of research paper organisation and evaluate the role of structured writing in promoting effective dissemination of knowledge</w:t>
      </w:r>
      <w:r w:rsidDel="00000000" w:rsidR="00000000" w:rsidRPr="00000000">
        <w:rPr>
          <w:rtl w:val="0"/>
        </w:rPr>
      </w:r>
    </w:p>
    <w:p w:rsidR="00000000" w:rsidDel="00000000" w:rsidP="00000000" w:rsidRDefault="00000000" w:rsidRPr="00000000" w14:paraId="000000BE">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Nature of the Research</w:t>
      </w:r>
    </w:p>
    <w:p w:rsidR="00000000" w:rsidDel="00000000" w:rsidP="00000000" w:rsidRDefault="00000000" w:rsidRPr="00000000" w14:paraId="000000BF">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Descriptive research seeks to provide a comprehensive account of a phenomenon by identifying and explaining its essential characteristics. Descriptive analysis encompasses the various components of research papers, including titles, abstracts, introductions, literature reviews, methodologies, findings, discussions, conclusions, references, and supplementary materials. By describing the functions and purposes of these components, it seeks to enhance understanding of research paper structures and their contribution to academic communication.</w:t>
      </w:r>
    </w:p>
    <w:p w:rsidR="00000000" w:rsidDel="00000000" w:rsidP="00000000" w:rsidRDefault="00000000" w:rsidRPr="00000000" w14:paraId="000000C0">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Analytical research extends beyond description by critically examining relationships, evaluating significance, and drawing reasoned conclusions. It analyses the role of research paper structures in facilitating clarity, coherence, and intellectual importance. It investigates how different organisational frameworks influence the presentation of research findings and explores how structured writing contributes to scholarly discourse.</w:t>
      </w:r>
    </w:p>
    <w:p w:rsidR="00000000" w:rsidDel="00000000" w:rsidP="00000000" w:rsidRDefault="00000000" w:rsidRPr="00000000" w14:paraId="000000C1">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study also incorporates elements of exploratory research because it seeks to investigate the broader implications of research paper organisation. Although substantial literature exists concerning academic writing, comparatively limited attention has been devoted to examining research paper structures as an integrated system. By exploring the interrelationships among various components of scholarly writing, the study seeks to contribute to a more comprehensive understanding of research communication.</w:t>
      </w:r>
    </w:p>
    <w:p w:rsidR="00000000" w:rsidDel="00000000" w:rsidP="00000000" w:rsidRDefault="00000000" w:rsidRPr="00000000" w14:paraId="000000C2">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Research Design</w:t>
      </w:r>
    </w:p>
    <w:p w:rsidR="00000000" w:rsidDel="00000000" w:rsidP="00000000" w:rsidRDefault="00000000" w:rsidRPr="00000000" w14:paraId="000000C3">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design refers to the overall plan through which a study is conducted. It establishes the procedures and strategies that guide data collection, analysis, and interpretation. Selecting an appropriate research design is crucial because it influences the reliability and validity of research findings.</w:t>
      </w:r>
    </w:p>
    <w:p w:rsidR="00000000" w:rsidDel="00000000" w:rsidP="00000000" w:rsidRDefault="00000000" w:rsidRPr="00000000" w14:paraId="000000C4">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present study adopts a qualitative research design. Qualitative research is particularly suitable for investigations that seek to understand concepts, ideas, experiences, and social phenomena. Unlike quantitative research, which focuses on numerical measurement and statistical analysis, qualitative research emphasises interpretation, meaning, and contextual understanding. Since the objective of this study is to examine research paper structures and methodological frameworks, qualitative analysis provides the most effective means of achieving these objectives.</w:t>
      </w:r>
    </w:p>
    <w:p w:rsidR="00000000" w:rsidDel="00000000" w:rsidP="00000000" w:rsidRDefault="00000000" w:rsidRPr="00000000" w14:paraId="000000C5">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qualitative design adopted in this study allows for detailed examination of scholarly literature, methodological theories, academic writing guidelines, and institutional practices. Through interpretative analysis of these materials, the study seeks to identify common themes, recurring principles, and significant patterns related to research organisation and scholarly communication.</w:t>
      </w:r>
    </w:p>
    <w:p w:rsidR="00000000" w:rsidDel="00000000" w:rsidP="00000000" w:rsidRDefault="00000000" w:rsidRPr="00000000" w14:paraId="000000C6">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Sources of Data</w:t>
      </w:r>
    </w:p>
    <w:p w:rsidR="00000000" w:rsidDel="00000000" w:rsidP="00000000" w:rsidRDefault="00000000" w:rsidRPr="00000000" w14:paraId="000000C7">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credibility of any research study depends upon the quality and relevance of the sources upon which it is based. The present research relies primarily on secondary sources of information because its objective is to examine existing theories, frameworks, and scholarly practices rather than generate new empirical data.</w:t>
      </w:r>
    </w:p>
    <w:p w:rsidR="00000000" w:rsidDel="00000000" w:rsidP="00000000" w:rsidRDefault="00000000" w:rsidRPr="00000000" w14:paraId="000000C8">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secondary sources consulted include academic books on research methodology, journal articles addressing scholarly communication, university research guidelines, publication manuals, conference papers, institutional reports, and authoritative commentaries on academic writing. These sources provide valuable insights into the development of research structures, the rationale underlying different methodological approaches, and the challenges associated with research writing.</w:t>
      </w:r>
    </w:p>
    <w:p w:rsidR="00000000" w:rsidDel="00000000" w:rsidP="00000000" w:rsidRDefault="00000000" w:rsidRPr="00000000" w14:paraId="000000C9">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use of secondary sources offers several advantages. First, it enables the researcher to draw upon a broad range of scholarly perspectives. Second, it facilitates comparative analysis of different approaches to research organisation. Third, it provides access to established theories and frameworks developed through extensive academic inquiry. By synthesising information from diverse sources, the study seeks to develop a comprehensive understanding of research paper structures and their significance.</w:t>
      </w:r>
    </w:p>
    <w:p w:rsidR="00000000" w:rsidDel="00000000" w:rsidP="00000000" w:rsidRDefault="00000000" w:rsidRPr="00000000" w14:paraId="000000CA">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Method of Analysis</w:t>
      </w:r>
    </w:p>
    <w:p w:rsidR="00000000" w:rsidDel="00000000" w:rsidP="00000000" w:rsidRDefault="00000000" w:rsidRPr="00000000" w14:paraId="000000CB">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Content analysis involves systematic examination of textual materials to identify themes, concepts, patterns, and relationships. Through careful review of academic literature, the study seeks to identify recurring discussions concerning research structures, methodological frameworks, and scholarly communication practices.</w:t>
      </w:r>
    </w:p>
    <w:p w:rsidR="00000000" w:rsidDel="00000000" w:rsidP="00000000" w:rsidRDefault="00000000" w:rsidRPr="00000000" w14:paraId="000000CC">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analytical process involves several stages. First, relevant literature is identified and reviewed. Second, key concepts and themes are extracted from the literature. Third, similarities and differences among various approaches are examined. Fourth, findings are synthesised to develop broader conclusions regarding the significance of research paper structures.</w:t>
      </w:r>
    </w:p>
    <w:p w:rsidR="00000000" w:rsidDel="00000000" w:rsidP="00000000" w:rsidRDefault="00000000" w:rsidRPr="00000000" w14:paraId="000000CD">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Content analysis is particularly appropriate for this study because it enables detailed examination of complex concepts without reducing them to numerical variables. Through qualitative interpretation of scholarly materials, the study seeks to provide nuanced insights into the role of research organisation in academic writing.</w:t>
      </w:r>
    </w:p>
    <w:p w:rsidR="00000000" w:rsidDel="00000000" w:rsidP="00000000" w:rsidRDefault="00000000" w:rsidRPr="00000000" w14:paraId="000000CE">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Doctrinal and Empirical Research Framework</w:t>
      </w:r>
    </w:p>
    <w:p w:rsidR="00000000" w:rsidDel="00000000" w:rsidP="00000000" w:rsidRDefault="00000000" w:rsidRPr="00000000" w14:paraId="000000CF">
      <w:pPr>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Conceptual Foundations</w:t>
      </w:r>
    </w:p>
    <w:p w:rsidR="00000000" w:rsidDel="00000000" w:rsidP="00000000" w:rsidRDefault="00000000" w:rsidRPr="00000000" w14:paraId="000000D0">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Every research study is guided by an intellectual framework that shapes its approach to knowledge generation and analysis. Among the most influential frameworks in academic research are doctrinal and empirical approaches. These frameworks represent distinct traditions of inquiry, each characterised by unique assumptions, methodologies, and objectives. Understanding their characteristics is essential because they influence the way research questions are formulated, evidence is collected, and conclusions are drawn.</w:t>
      </w:r>
    </w:p>
    <w:p w:rsidR="00000000" w:rsidDel="00000000" w:rsidP="00000000" w:rsidRDefault="00000000" w:rsidRPr="00000000" w14:paraId="000000D1">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distinction between doctrinal and empirical research reflects broader debates concerning the nature of knowledge and the appropriate methods for studying social phenomena. While doctrinal research emphasises analysis of authoritative texts and normative principles, empirical research focuses on observation and experience. Both approaches contribute significantly to scholarly inquiry and offer valuable perspectives on complex issues.</w:t>
      </w:r>
    </w:p>
    <w:p w:rsidR="00000000" w:rsidDel="00000000" w:rsidP="00000000" w:rsidRDefault="00000000" w:rsidRPr="00000000" w14:paraId="000000D2">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Understanding Doctrinal Research</w:t>
      </w:r>
    </w:p>
    <w:p w:rsidR="00000000" w:rsidDel="00000000" w:rsidP="00000000" w:rsidRDefault="00000000" w:rsidRPr="00000000" w14:paraId="000000D3">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Doctrinal research occupies a central position within legal scholarship and is often regarded as the traditional method of legal inquiry. It focuses on identifying, interpreting, and analysing legal rules derived from authoritative sources such as constitutions, statutes, judicial decisions, regulations, and international agreements.</w:t>
      </w:r>
    </w:p>
    <w:p w:rsidR="00000000" w:rsidDel="00000000" w:rsidP="00000000" w:rsidRDefault="00000000" w:rsidRPr="00000000" w14:paraId="000000D4">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primary objective of doctrinal research is to determine the current state of the law and evaluate its application to specific issues. Researchers employing this approach examine legal texts in order to identify principles, clarify ambiguities, and assess consistency within legal systems. Through careful analysis of legal authorities, doctrinal research contributes to legal certainty, coherence, and predictability.</w:t>
      </w:r>
    </w:p>
    <w:p w:rsidR="00000000" w:rsidDel="00000000" w:rsidP="00000000" w:rsidRDefault="00000000" w:rsidRPr="00000000" w14:paraId="000000D5">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defining characteristic of doctrinal research is its emphasis on normative reasoning. Rather than merely describing legal rules, doctrinal scholars evaluate whether those rules effectively achieve their intended purposes. This often involves examining legislative intent, judicial interpretation, policy objectives, and ethical considerations. Consequently, doctrinal research plays a significant role in legal reform and policy development.</w:t>
      </w:r>
    </w:p>
    <w:p w:rsidR="00000000" w:rsidDel="00000000" w:rsidP="00000000" w:rsidRDefault="00000000" w:rsidRPr="00000000" w14:paraId="000000D6">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Within the context of research paper structures, doctrinal analysis may be applied to academic regulations, publication standards, and institutional guidelines governing scholarly writing. Such analysis reveals that research structures are not arbitrary conventions but carefully designed frameworks intended to promote clarity, consistency, and intellectual integrity.</w:t>
      </w:r>
    </w:p>
    <w:p w:rsidR="00000000" w:rsidDel="00000000" w:rsidP="00000000" w:rsidRDefault="00000000" w:rsidRPr="00000000" w14:paraId="000000D7">
      <w:pPr>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Importance of Doctrinal Research</w:t>
      </w:r>
    </w:p>
    <w:p w:rsidR="00000000" w:rsidDel="00000000" w:rsidP="00000000" w:rsidRDefault="00000000" w:rsidRPr="00000000" w14:paraId="000000D8">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significance of doctrinal research extends beyond legal scholarship. Its emphasis on textual analysis, logical reasoning, and systematic interpretation provides valuable methodological tools applicable across disciplines. By encouraging rigorous examination of authoritative sources, doctrinal research enhances the quality and credibility of academic inquiry.</w:t>
      </w:r>
    </w:p>
    <w:p w:rsidR="00000000" w:rsidDel="00000000" w:rsidP="00000000" w:rsidRDefault="00000000" w:rsidRPr="00000000" w14:paraId="000000D9">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Furthermore, doctrinal research facilitates the development of coherent theoretical frameworks. Through analysis of existing literature and normative principles, researchers can identify gaps in knowledge, evaluate competing perspectives, and formulate reasoned conclusions. These contributions make doctrinal research an indispensable component of scholarly investigation.</w:t>
      </w:r>
    </w:p>
    <w:p w:rsidR="00000000" w:rsidDel="00000000" w:rsidP="00000000" w:rsidRDefault="00000000" w:rsidRPr="00000000" w14:paraId="000000DA">
      <w:pPr>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Understanding Empirical Research</w:t>
      </w:r>
    </w:p>
    <w:p w:rsidR="00000000" w:rsidDel="00000000" w:rsidP="00000000" w:rsidRDefault="00000000" w:rsidRPr="00000000" w14:paraId="000000DB">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Empirical research differs fundamentally from doctrinal research because it emphasises observation and experience rather than textual analysis. The term "empirical" derives from the Greek word for experience and reflects the belief that knowledge should be grounded in observable evidence.</w:t>
      </w:r>
    </w:p>
    <w:p w:rsidR="00000000" w:rsidDel="00000000" w:rsidP="00000000" w:rsidRDefault="00000000" w:rsidRPr="00000000" w14:paraId="000000DC">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Empirical researchers seek to understand phenomena by collecting and analysing data obtained from real-world situations. Common methods include surveys, interviews, questionnaires, observations, experiments, and case studies. Through these methods, researchers generate evidence concerning attitudes, behaviours, institutions, and social processes.</w:t>
      </w:r>
    </w:p>
    <w:p w:rsidR="00000000" w:rsidDel="00000000" w:rsidP="00000000" w:rsidRDefault="00000000" w:rsidRPr="00000000" w14:paraId="000000DD">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objective of empirical research is not merely to describe phenomena but also to explain relationships, identify patterns, and test hypotheses. By examining how individuals and institutions operate in practice, empirical studies provide insights that may not be apparent through theoretical analysis alone.</w:t>
      </w:r>
    </w:p>
    <w:p w:rsidR="00000000" w:rsidDel="00000000" w:rsidP="00000000" w:rsidRDefault="00000000" w:rsidRPr="00000000" w14:paraId="000000DE">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 example, while doctrinal analysis might examine university guidelines concerning research paper structures, empirical research could investigate how students actually apply those guidelines when writing research papers. Such studies might reveal challenges, misconceptions, and practical obstacles that remain invisible within formal regulations.</w:t>
      </w:r>
    </w:p>
    <w:p w:rsidR="00000000" w:rsidDel="00000000" w:rsidP="00000000" w:rsidRDefault="00000000" w:rsidRPr="00000000" w14:paraId="000000DF">
      <w:pPr>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Significance of Empirical Research</w:t>
      </w:r>
    </w:p>
    <w:p w:rsidR="00000000" w:rsidDel="00000000" w:rsidP="00000000" w:rsidRDefault="00000000" w:rsidRPr="00000000" w14:paraId="000000E0">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Empirical research plays a vital role in contemporary scholarship because it bridges the gap between theory and practice. It enables researchers to evaluate policy effectiveness, assess institutional performance, and understand human behaviour. Through evidence-based investigation, empirical studies contribute to informed decision-making and policy development.</w:t>
      </w:r>
    </w:p>
    <w:p w:rsidR="00000000" w:rsidDel="00000000" w:rsidP="00000000" w:rsidRDefault="00000000" w:rsidRPr="00000000" w14:paraId="000000E1">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growth of interdisciplinary research has further increased the importance of empirical methods. Many contemporary challenges require understanding both normative principles and practical realities. Consequently, empirical research has become an essential complement to doctrinal analysis.</w:t>
      </w:r>
    </w:p>
    <w:p w:rsidR="00000000" w:rsidDel="00000000" w:rsidP="00000000" w:rsidRDefault="00000000" w:rsidRPr="00000000" w14:paraId="000000E2">
      <w:pPr>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Integration of Doctrinal and Empirical Frameworks</w:t>
      </w:r>
    </w:p>
    <w:p w:rsidR="00000000" w:rsidDel="00000000" w:rsidP="00000000" w:rsidRDefault="00000000" w:rsidRPr="00000000" w14:paraId="000000E3">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Modern scholarship increasingly recognises that doctrinal and empirical approaches should not be viewed as mutually exclusive. Instead, they represent complementary methods capable of enriching one another. While doctrinal research provides theoretical and normative understanding, empirical research offers practical insights into implementation and impact.</w:t>
      </w:r>
    </w:p>
    <w:p w:rsidR="00000000" w:rsidDel="00000000" w:rsidP="00000000" w:rsidRDefault="00000000" w:rsidRPr="00000000" w14:paraId="000000E4">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Integrating these frameworks enables researchers to examine both what ought to be and what actually exists. Such integration enhances the depth, relevance, and applicability of research findings. In studies of research paper structures, combining doctrinal and empirical perspectives can reveal not only the principles underlying academic writing guidelines but also the practical challenges researchers face in implementing those guidelines.</w:t>
      </w:r>
    </w:p>
    <w:p w:rsidR="00000000" w:rsidDel="00000000" w:rsidP="00000000" w:rsidRDefault="00000000" w:rsidRPr="00000000" w14:paraId="000000E5">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Analytical Methodology</w:t>
      </w:r>
    </w:p>
    <w:p w:rsidR="00000000" w:rsidDel="00000000" w:rsidP="00000000" w:rsidRDefault="00000000" w:rsidRPr="00000000" w14:paraId="000000E6">
      <w:pPr>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Meaning and Significance</w:t>
      </w:r>
    </w:p>
    <w:p w:rsidR="00000000" w:rsidDel="00000000" w:rsidP="00000000" w:rsidRDefault="00000000" w:rsidRPr="00000000" w14:paraId="000000E7">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analysis is the process of examining legal authorities in order to understand their meaning, evaluate their implications, and assess their effectiveness. It constitutes the intellectual core of legal scholarship and distinguishes analytical research from descriptive reporting.</w:t>
      </w:r>
    </w:p>
    <w:p w:rsidR="00000000" w:rsidDel="00000000" w:rsidP="00000000" w:rsidRDefault="00000000" w:rsidRPr="00000000" w14:paraId="000000E8">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Unlike simple description, legal analysis requires critical engagement with legal principles and reasoning. Researchers must examine statutes, judicial decisions, constitutional provisions, regulations, and scholarly commentaries to identify relevant legal issues and develop informed conclusions.</w:t>
      </w:r>
    </w:p>
    <w:p w:rsidR="00000000" w:rsidDel="00000000" w:rsidP="00000000" w:rsidRDefault="00000000" w:rsidRPr="00000000" w14:paraId="000000E9">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analysis contributes significantly to the development of legal knowledge by transforming legal information into coherent arguments and meaningful insights. Through systematic examination of legal authorities, researchers clarify ambiguities, evaluate competing interpretations, and propose solutions to complex problems.</w:t>
      </w:r>
    </w:p>
    <w:p w:rsidR="00000000" w:rsidDel="00000000" w:rsidP="00000000" w:rsidRDefault="00000000" w:rsidRPr="00000000" w14:paraId="000000EA">
      <w:pPr>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Components of Legal Analysis</w:t>
      </w:r>
    </w:p>
    <w:p w:rsidR="00000000" w:rsidDel="00000000" w:rsidP="00000000" w:rsidRDefault="00000000" w:rsidRPr="00000000" w14:paraId="000000EB">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Effective legal analysis involves several interconnected elements. The first is identification of relevant legal authorities. Researchers must determine which statutes, constitutional provisions, regulations, and judicial decisions are applicable to the issue under investigation.</w:t>
      </w:r>
    </w:p>
    <w:p w:rsidR="00000000" w:rsidDel="00000000" w:rsidP="00000000" w:rsidRDefault="00000000" w:rsidRPr="00000000" w14:paraId="000000EC">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second element is interpretation. Legal texts often contain ambiguities that require careful analysis. Researchers must examine the language of legal provisions, legislative intent, judicial precedents, and broader policy objectives to determine their meaning.</w:t>
      </w:r>
    </w:p>
    <w:p w:rsidR="00000000" w:rsidDel="00000000" w:rsidP="00000000" w:rsidRDefault="00000000" w:rsidRPr="00000000" w14:paraId="000000ED">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third element is evaluation. Legal researchers assess whether existing legal frameworks effectively address the issues they were designed to regulate. This may involve examining practical outcomes, comparing alternative approaches, and identifying deficiencies within legal systems.</w:t>
      </w:r>
    </w:p>
    <w:p w:rsidR="00000000" w:rsidDel="00000000" w:rsidP="00000000" w:rsidRDefault="00000000" w:rsidRPr="00000000" w14:paraId="000000EE">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fourth element is application. Researchers apply legal principles to specific factual situations in order to determine their implications and consequences. Through this process, legal analysis contributes to problem-solving and decision-making.</w:t>
      </w:r>
    </w:p>
    <w:p w:rsidR="00000000" w:rsidDel="00000000" w:rsidP="00000000" w:rsidRDefault="00000000" w:rsidRPr="00000000" w14:paraId="000000EF">
      <w:pPr>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Legal Analysis and Research Paper Structures</w:t>
      </w:r>
    </w:p>
    <w:p w:rsidR="00000000" w:rsidDel="00000000" w:rsidP="00000000" w:rsidRDefault="00000000" w:rsidRPr="00000000" w14:paraId="000000F0">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analysis can also be applied to research paper structures and academic writing standards. Universities, academic institutions, and scholarly journals often establish detailed guidelines governing the preparation of research papers. These guidelines reflect normative principles concerning clarity, transparency, accountability, and intellectual integrity.</w:t>
      </w:r>
    </w:p>
    <w:p w:rsidR="00000000" w:rsidDel="00000000" w:rsidP="00000000" w:rsidRDefault="00000000" w:rsidRPr="00000000" w14:paraId="000000F1">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By analysing such guidelines, researchers can identify the values underlying scholarly communication. For example, requirements concerning citations reflect the principle of academic honesty, while methodological transparency promotes accountability and reproducibility. Similarly, standardised structures facilitate accessibility and consistency across disciplines.</w:t>
      </w:r>
    </w:p>
    <w:p w:rsidR="00000000" w:rsidDel="00000000" w:rsidP="00000000" w:rsidRDefault="00000000" w:rsidRPr="00000000" w14:paraId="000000F2">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legal analysis of research paper structures therefore reveals that academic writing conventions serve important normative functions. They are not merely technical requirements but mechanisms designed to promote the integrity and effectiveness of scholarly communication.</w:t>
      </w:r>
    </w:p>
    <w:p w:rsidR="00000000" w:rsidDel="00000000" w:rsidP="00000000" w:rsidRDefault="00000000" w:rsidRPr="00000000" w14:paraId="000000F3">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Research Findings</w:t>
      </w:r>
    </w:p>
    <w:p w:rsidR="00000000" w:rsidDel="00000000" w:rsidP="00000000" w:rsidRDefault="00000000" w:rsidRPr="00000000" w14:paraId="000000F4">
      <w:pPr>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Introduction</w:t>
      </w:r>
    </w:p>
    <w:p w:rsidR="00000000" w:rsidDel="00000000" w:rsidP="00000000" w:rsidRDefault="00000000" w:rsidRPr="00000000" w14:paraId="000000F5">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findings section constitutes one of the most significant components of a research paper because it presents the outcomes derived from the systematic investigation of the research problem. It serves as the bridge between the collection and analysis of information on the one hand and the interpretation of that information on the other. Unlike the discussion section, which focuses on explaining the implications of the results, the findings section primarily presents the observations that emerged during the research process. The purpose of this section is to answer the research questions, address the research objectives, and provide a factual basis for subsequent analysis and recommendations.</w:t>
      </w:r>
    </w:p>
    <w:p w:rsidR="00000000" w:rsidDel="00000000" w:rsidP="00000000" w:rsidRDefault="00000000" w:rsidRPr="00000000" w14:paraId="000000F6">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the present study, which examines the structure, significance, and application of research paper formats, the findings are derived from an extensive review of academic literature, research methodology texts, institutional guidelines, publication manuals, and scholarly discussions on academic writing. The analysis reveals several important insights regarding the role of research paper structures in facilitating scholarly communication and enhancing the overall quality of research output.</w:t>
      </w:r>
    </w:p>
    <w:p w:rsidR="00000000" w:rsidDel="00000000" w:rsidP="00000000" w:rsidRDefault="00000000" w:rsidRPr="00000000" w14:paraId="000000F7">
      <w:pPr>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Research Paper Structure as a Foundation of Scholarly Communication</w:t>
      </w:r>
    </w:p>
    <w:p w:rsidR="00000000" w:rsidDel="00000000" w:rsidP="00000000" w:rsidRDefault="00000000" w:rsidRPr="00000000" w14:paraId="000000F8">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One of the most significant findings of the study is that research paper structure functions as the foundation of scholarly communication. Academic research is not merely concerned with generating knowledge; it is equally concerned with communicating that knowledge in a manner that is clear, coherent, and accessible. The study reveals that a well-structured research paper enables readers to understand the research problem, follow the methodological approach, evaluate the findings, and appreciate the significance of the conclusions.</w:t>
      </w:r>
    </w:p>
    <w:p w:rsidR="00000000" w:rsidDel="00000000" w:rsidP="00000000" w:rsidRDefault="00000000" w:rsidRPr="00000000" w14:paraId="000000F9">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literature consistently emphasises that structure is not an external or decorative feature of academic writing. Rather, it is an integral component of the research process itself. The organisation of a research paper influences how information is interpreted and how effectively arguments are communicated. Consequently, researchers who fail to </w:t>
      </w:r>
      <w:r w:rsidDel="00000000" w:rsidR="00000000" w:rsidRPr="00000000">
        <w:rPr>
          <w:rFonts w:ascii="Georgia" w:cs="Georgia" w:eastAsia="Georgia" w:hAnsi="Georgia"/>
          <w:sz w:val="24"/>
          <w:szCs w:val="24"/>
          <w:rtl w:val="0"/>
        </w:rPr>
        <w:t xml:space="preserve">organise</w:t>
      </w:r>
      <w:r w:rsidDel="00000000" w:rsidR="00000000" w:rsidRPr="00000000">
        <w:rPr>
          <w:rFonts w:ascii="Georgia" w:cs="Georgia" w:eastAsia="Georgia" w:hAnsi="Georgia"/>
          <w:sz w:val="24"/>
          <w:szCs w:val="24"/>
          <w:rtl w:val="0"/>
        </w:rPr>
        <w:t xml:space="preserve"> their work systematically often struggle to convey the significance of their findings, regardless of the quality of their underlying research.</w:t>
      </w:r>
    </w:p>
    <w:p w:rsidR="00000000" w:rsidDel="00000000" w:rsidP="00000000" w:rsidRDefault="00000000" w:rsidRPr="00000000" w14:paraId="000000FA">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study further finds that structured writing contributes to intellectual clarity by encouraging researchers to </w:t>
      </w:r>
      <w:r w:rsidDel="00000000" w:rsidR="00000000" w:rsidRPr="00000000">
        <w:rPr>
          <w:rFonts w:ascii="Georgia" w:cs="Georgia" w:eastAsia="Georgia" w:hAnsi="Georgia"/>
          <w:sz w:val="24"/>
          <w:szCs w:val="24"/>
          <w:rtl w:val="0"/>
        </w:rPr>
        <w:t xml:space="preserve">organise</w:t>
      </w:r>
      <w:r w:rsidDel="00000000" w:rsidR="00000000" w:rsidRPr="00000000">
        <w:rPr>
          <w:rFonts w:ascii="Georgia" w:cs="Georgia" w:eastAsia="Georgia" w:hAnsi="Georgia"/>
          <w:sz w:val="24"/>
          <w:szCs w:val="24"/>
          <w:rtl w:val="0"/>
        </w:rPr>
        <w:t xml:space="preserve"> their thoughts logically and systematically. Arranging information into sections such as introduction, literature review, methodology, findings, discussion, and conclusion promotes analytical thinking and helps researchers develop coherent arguments.</w:t>
      </w:r>
    </w:p>
    <w:p w:rsidR="00000000" w:rsidDel="00000000" w:rsidP="00000000" w:rsidRDefault="00000000" w:rsidRPr="00000000" w14:paraId="000000FB">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Standardisation and Consistency in Academic Writing</w:t>
      </w:r>
    </w:p>
    <w:p w:rsidR="00000000" w:rsidDel="00000000" w:rsidP="00000000" w:rsidRDefault="00000000" w:rsidRPr="00000000" w14:paraId="000000FC">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examination of scholarly literature reveals that formats such as IMRAD and the Legal Research Format have emerged in response to the need for uniformity in scholarly communication. Standardised structures provide researchers with clear guidelines for organising information and enable readers to navigate research papers more efficiently.</w:t>
      </w:r>
    </w:p>
    <w:p w:rsidR="00000000" w:rsidDel="00000000" w:rsidP="00000000" w:rsidRDefault="00000000" w:rsidRPr="00000000" w14:paraId="000000FD">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study indicates that standardisation offers several advantages. It reduces ambiguity regarding the presentation of research, facilitates peer review, and enhances comparability among studies. Readers familiar with a particular format can quickly locate relevant information and evaluate the quality of the research. For example, the IMRAD format enables readers to identify the research problem, understand the methodology, examine the results, and evaluate the discussion without unnecessary confusion.</w:t>
      </w:r>
    </w:p>
    <w:p w:rsidR="00000000" w:rsidDel="00000000" w:rsidP="00000000" w:rsidRDefault="00000000" w:rsidRPr="00000000" w14:paraId="000000FE">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At the same time, the findings reveal that standardization does not necessarily imply rigidity. Different disciplines adapt research structures to accommodate their specific objectives and methodologies. While scientific disciplines emphasise experimental methods and empirical findings, legal scholarship prioritises doctrinal analysis and normative reasoning. The existence of discipline-specific variations demonstrates that research structures must balance consistency with flexibility.</w:t>
      </w:r>
    </w:p>
    <w:p w:rsidR="00000000" w:rsidDel="00000000" w:rsidP="00000000" w:rsidRDefault="00000000" w:rsidRPr="00000000" w14:paraId="000000FF">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Educational Significance of Research Structures</w:t>
      </w:r>
    </w:p>
    <w:p w:rsidR="00000000" w:rsidDel="00000000" w:rsidP="00000000" w:rsidRDefault="00000000" w:rsidRPr="00000000" w14:paraId="00000100">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There is a strong relationship between research paper structures and the development of academic skills. Research formats serve not only as organisational frameworks but also as educational tools that teach students how to think critically, analyse information, and communicate effectively.</w:t>
      </w:r>
    </w:p>
    <w:p w:rsidR="00000000" w:rsidDel="00000000" w:rsidP="00000000" w:rsidRDefault="00000000" w:rsidRPr="00000000" w14:paraId="00000101">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Preparing a structured research paper encourages students to engage in systematic inquiry. By requiring researchers to formulate research questions, review literature, explain methodologies, present findings, and develop conclusions, research structures promote analytical reasoning and intellectual discipline.</w:t>
      </w:r>
    </w:p>
    <w:p w:rsidR="00000000" w:rsidDel="00000000" w:rsidP="00000000" w:rsidRDefault="00000000" w:rsidRPr="00000000" w14:paraId="00000102">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Furthermore, the study reveals that structured writing enhances the development of transferable skills such as problem-solving, logical reasoning, evidence evaluation, and professional communication. These skills extend beyond academic settings and contribute to success in professional environments. Consequently, research paper structures play a significant role in preparing students for careers that require analytical thinking and effective communication.</w:t>
      </w:r>
    </w:p>
    <w:p w:rsidR="00000000" w:rsidDel="00000000" w:rsidP="00000000" w:rsidRDefault="00000000" w:rsidRPr="00000000" w14:paraId="00000103">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Challenges Faced by Researchers</w:t>
      </w:r>
    </w:p>
    <w:p w:rsidR="00000000" w:rsidDel="00000000" w:rsidP="00000000" w:rsidRDefault="00000000" w:rsidRPr="00000000" w14:paraId="00000104">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Despite the benefits of structured writing, several challenges are commonly encountered by students and novice researchers. One of the most frequently reported difficulties involves understanding the distinct functions of different research paper sections. Many researchers struggle to differentiate between literature reviews and discussions, findings and conclusions, or methodologies and analyses.</w:t>
      </w:r>
    </w:p>
    <w:p w:rsidR="00000000" w:rsidDel="00000000" w:rsidP="00000000" w:rsidRDefault="00000000" w:rsidRPr="00000000" w14:paraId="00000105">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findings also indicate that researchers often encounter difficulties in maintaining logical flow and coherence throughout their papers. In some cases, sections overlap unnecessarily, resulting in repetition and confusion. In other cases, inadequate transitions between chapters disrupt the continuity of the argument and make it difficult for readers to follow the progression of ideas.</w:t>
      </w:r>
    </w:p>
    <w:p w:rsidR="00000000" w:rsidDel="00000000" w:rsidP="00000000" w:rsidRDefault="00000000" w:rsidRPr="00000000" w14:paraId="00000106">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Another challenge concerns the integration of evidence into arguments. The study reveals that many researchers collect substantial amounts of information but struggle to synthesise that information into coherent analytical discussions. This problem frequently results in descriptive rather than analytical writing, limiting the scholarly contribution of the research.</w:t>
      </w:r>
    </w:p>
    <w:p w:rsidR="00000000" w:rsidDel="00000000" w:rsidP="00000000" w:rsidRDefault="00000000" w:rsidRPr="00000000" w14:paraId="00000107">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Importance of Methodological Transparency</w:t>
      </w:r>
    </w:p>
    <w:p w:rsidR="00000000" w:rsidDel="00000000" w:rsidP="00000000" w:rsidRDefault="00000000" w:rsidRPr="00000000" w14:paraId="00000108">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Readers and reviewers place significant emphasis on understanding how research was conducted because methodological clarity enables them to evaluate the reliability of findings.</w:t>
      </w:r>
    </w:p>
    <w:p w:rsidR="00000000" w:rsidDel="00000000" w:rsidP="00000000" w:rsidRDefault="00000000" w:rsidRPr="00000000" w14:paraId="00000109">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papers with detailed methodology sections are generally perceived as more credible and trustworthy. Transparency regarding data sources, analytical methods, and research procedures allows readers to assess the validity of conclusions and identify potential limitations. Conversely, insufficient methodological explanation often undermines confidence in the research, even when the findings themselves appear significant.</w:t>
      </w:r>
    </w:p>
    <w:p w:rsidR="00000000" w:rsidDel="00000000" w:rsidP="00000000" w:rsidRDefault="00000000" w:rsidRPr="00000000" w14:paraId="0000010A">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Role of Research Paper Structures in Knowledge Dissemination</w:t>
      </w:r>
    </w:p>
    <w:p w:rsidR="00000000" w:rsidDel="00000000" w:rsidP="00000000" w:rsidRDefault="00000000" w:rsidRPr="00000000" w14:paraId="0000010B">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Academic research fulfils its purpose only when its findings are effectively communicated to relevant audiences. The study demonstrates that structured writing facilitates the dissemination of knowledge by making research more accessible, understandable, and usable. Well-</w:t>
      </w:r>
      <w:r w:rsidDel="00000000" w:rsidR="00000000" w:rsidRPr="00000000">
        <w:rPr>
          <w:rFonts w:ascii="Georgia" w:cs="Georgia" w:eastAsia="Georgia" w:hAnsi="Georgia"/>
          <w:sz w:val="24"/>
          <w:szCs w:val="24"/>
          <w:rtl w:val="0"/>
        </w:rPr>
        <w:t xml:space="preserve">organise</w:t>
      </w:r>
      <w:r w:rsidDel="00000000" w:rsidR="00000000" w:rsidRPr="00000000">
        <w:rPr>
          <w:rFonts w:ascii="Georgia" w:cs="Georgia" w:eastAsia="Georgia" w:hAnsi="Georgia"/>
          <w:sz w:val="24"/>
          <w:szCs w:val="24"/>
          <w:rtl w:val="0"/>
        </w:rPr>
        <w:t xml:space="preserve">d papers enable scholars, policymakers, practitioners, and students to engage with research findings more effectively. Through clear presentation of objectives, methodologies, findings, and conclusions, structured writing ensures that valuable knowledge reaches those who can apply it in practice. Consequently, research paper structures play a vital role in advancing academic inquiry and promoting evidence-based decision-making.</w:t>
      </w:r>
    </w:p>
    <w:p w:rsidR="00000000" w:rsidDel="00000000" w:rsidP="00000000" w:rsidRDefault="00000000" w:rsidRPr="00000000" w14:paraId="0000010C">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Research Structure as an Intellectual Framework</w:t>
      </w:r>
    </w:p>
    <w:p w:rsidR="00000000" w:rsidDel="00000000" w:rsidP="00000000" w:rsidRDefault="00000000" w:rsidRPr="00000000" w14:paraId="0000010D">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w:t>
      </w:r>
      <w:r w:rsidDel="00000000" w:rsidR="00000000" w:rsidRPr="00000000">
        <w:rPr>
          <w:rFonts w:ascii="Georgia" w:cs="Georgia" w:eastAsia="Georgia" w:hAnsi="Georgia"/>
          <w:sz w:val="24"/>
          <w:szCs w:val="24"/>
          <w:rtl w:val="0"/>
        </w:rPr>
        <w:t xml:space="preserve">esearch paper structures should be understood as intellectual frameworks rather than merely technical templates. Academic writing is often perceived by students as a process of complying with formatting requirements. The organisation of a research paper reflects the logic of the research process itself. Each section corresponds to a particular stage of inquiry and contributes to the development of a coherent argument. The introduction identifies the research problem, the literature review establishes context, and the methodology explains the investigative process. This progression mirrors the intellectual journey undertaken by the researcher.</w:t>
      </w:r>
    </w:p>
    <w:p w:rsidR="00000000" w:rsidDel="00000000" w:rsidP="00000000" w:rsidRDefault="00000000" w:rsidRPr="00000000" w14:paraId="0000010E">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Understanding research structures as intellectual frameworks helps explain why they contribute to analytical thinking. By requiring researchers to </w:t>
      </w:r>
      <w:r w:rsidDel="00000000" w:rsidR="00000000" w:rsidRPr="00000000">
        <w:rPr>
          <w:rFonts w:ascii="Georgia" w:cs="Georgia" w:eastAsia="Georgia" w:hAnsi="Georgia"/>
          <w:sz w:val="24"/>
          <w:szCs w:val="24"/>
          <w:rtl w:val="0"/>
        </w:rPr>
        <w:t xml:space="preserve">organise</w:t>
      </w:r>
      <w:r w:rsidDel="00000000" w:rsidR="00000000" w:rsidRPr="00000000">
        <w:rPr>
          <w:rFonts w:ascii="Georgia" w:cs="Georgia" w:eastAsia="Georgia" w:hAnsi="Georgia"/>
          <w:sz w:val="24"/>
          <w:szCs w:val="24"/>
          <w:rtl w:val="0"/>
        </w:rPr>
        <w:t xml:space="preserve"> information systematically, these structures encourage clarity of thought and logical reasoning. </w:t>
      </w:r>
    </w:p>
    <w:p w:rsidR="00000000" w:rsidDel="00000000" w:rsidP="00000000" w:rsidRDefault="00000000" w:rsidRPr="00000000" w14:paraId="0000010F">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Academic Writing and Critical Thinking</w:t>
      </w:r>
    </w:p>
    <w:p w:rsidR="00000000" w:rsidDel="00000000" w:rsidP="00000000" w:rsidRDefault="00000000" w:rsidRPr="00000000" w14:paraId="00000110">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study also highlights the close relationship between research paper structures and critical thinking. Academic writing requires researchers to evaluate evidence, compare perspectives, identify patterns, and formulate reasoned conclusions. Structured research formats facilitate these activities by providing a framework for critical analysis.</w:t>
      </w:r>
    </w:p>
    <w:p w:rsidR="00000000" w:rsidDel="00000000" w:rsidP="00000000" w:rsidRDefault="00000000" w:rsidRPr="00000000" w14:paraId="00000111">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Many of the difficulties experienced by students stem not from deficiencies in knowledge but from challenges associated with organising and analysing information. Research structures address these challenges by dividing complex tasks into manageable stages. Through this process, researchers learn how to move from information gathering to analysis, interpretation, and argumentation.</w:t>
      </w:r>
    </w:p>
    <w:p w:rsidR="00000000" w:rsidDel="00000000" w:rsidP="00000000" w:rsidRDefault="00000000" w:rsidRPr="00000000" w14:paraId="00000112">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sz w:val="24"/>
          <w:szCs w:val="24"/>
          <w:rtl w:val="0"/>
        </w:rPr>
        <w:t xml:space="preserve">Consequently, the educational significance of research paper structures extends beyond academic writing itself. By promoting critical thinking and analytical reasoning, structured writing contributes to broader intellectual development and prepares students for professional roles that require evidence-based decision-making.</w:t>
      </w:r>
      <w:r w:rsidDel="00000000" w:rsidR="00000000" w:rsidRPr="00000000">
        <w:rPr>
          <w:rtl w:val="0"/>
        </w:rPr>
      </w:r>
    </w:p>
    <w:p w:rsidR="00000000" w:rsidDel="00000000" w:rsidP="00000000" w:rsidRDefault="00000000" w:rsidRPr="00000000" w14:paraId="00000113">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The Balance Between Standardisation and Flexibility</w:t>
      </w:r>
    </w:p>
    <w:p w:rsidR="00000000" w:rsidDel="00000000" w:rsidP="00000000" w:rsidRDefault="00000000" w:rsidRPr="00000000" w14:paraId="00000114">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Standardised formats provide consistency and facilitate communication, yet excessive rigidity may limit creativity and innovation. The discussion suggests that effective research structures must balance these competing considerations.</w:t>
      </w:r>
    </w:p>
    <w:p w:rsidR="00000000" w:rsidDel="00000000" w:rsidP="00000000" w:rsidRDefault="00000000" w:rsidRPr="00000000" w14:paraId="00000115">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Readers benefit from familiar organisational patterns that allow them to locate information quickly and evaluate research systematically. However, different disciplines pursue different objectives and employ different methodologies. Consequently, research structures must remain sufficiently flexible to accommodate disciplinary diversity.</w:t>
      </w:r>
    </w:p>
    <w:p w:rsidR="00000000" w:rsidDel="00000000" w:rsidP="00000000" w:rsidRDefault="00000000" w:rsidRPr="00000000" w14:paraId="00000116">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Methodological Transparency and Academic Integrity</w:t>
      </w:r>
    </w:p>
    <w:p w:rsidR="00000000" w:rsidDel="00000000" w:rsidP="00000000" w:rsidRDefault="00000000" w:rsidRPr="00000000" w14:paraId="00000117">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findings concerning methodological transparency have important implications for academic integrity and research credibility. Transparent methodology enables readers to evaluate the reliability of findings and promotes accountability within scholarly communities. In an era characterised by increasing concerns regarding research quality and reproducibility, methodological transparency assumes particular significance.</w:t>
      </w:r>
    </w:p>
    <w:p w:rsidR="00000000" w:rsidDel="00000000" w:rsidP="00000000" w:rsidRDefault="00000000" w:rsidRPr="00000000" w14:paraId="00000118">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discussion suggests that methodology serves not only technical functions but also ethical functions. By explaining how research was conducted, researchers demonstrate honesty, openness, and respect for scholarly standards. Methodological transparency therefore contributes to the trust upon which academic communities depend.</w:t>
      </w:r>
    </w:p>
    <w:p w:rsidR="00000000" w:rsidDel="00000000" w:rsidP="00000000" w:rsidRDefault="00000000" w:rsidRPr="00000000" w14:paraId="00000119">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Academic institutions should encourage students to engage critically with high-quality research publications. Exposure to exemplary scholarly writing enables students to observe effective organisational strategies and develop stronger research skills. Mentorship programs involving experienced researchers can further support this process.</w:t>
      </w:r>
    </w:p>
    <w:p w:rsidR="00000000" w:rsidDel="00000000" w:rsidP="00000000" w:rsidRDefault="00000000" w:rsidRPr="00000000" w14:paraId="0000011A">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Researchers should be encouraged to prepare detailed outlines before beginning the writing process. Planning promotes coherence, reduces repetition, and facilitates logical progression of ideas. Finally, future research should examine the relationship between research paper structures and learning outcomes through empirical investigation. Such studies could provide valuable insights into the educational impact of structured writing and inform the development of more effective research training programs.</w:t>
      </w:r>
    </w:p>
    <w:p w:rsidR="00000000" w:rsidDel="00000000" w:rsidP="00000000" w:rsidRDefault="00000000" w:rsidRPr="00000000" w14:paraId="0000011B">
      <w:pPr>
        <w:spacing w:after="280" w:before="280" w:line="276" w:lineRule="auto"/>
        <w:jc w:val="both"/>
        <w:rPr>
          <w:rFonts w:ascii="Georgia" w:cs="Georgia" w:eastAsia="Georgia" w:hAnsi="Georgia"/>
          <w:b w:val="1"/>
          <w:bCs w:val="1"/>
          <w:color w:val="3d85c6"/>
          <w:sz w:val="26"/>
          <w:szCs w:val="26"/>
        </w:rPr>
      </w:pPr>
      <w:r w:rsidDel="00000000" w:rsidR="00000000" w:rsidRPr="00000000">
        <w:rPr>
          <w:rFonts w:ascii="Georgia" w:cs="Georgia" w:eastAsia="Georgia" w:hAnsi="Georgia"/>
          <w:b w:val="1"/>
          <w:bCs w:val="1"/>
          <w:color w:val="3d85c6"/>
          <w:sz w:val="26"/>
          <w:szCs w:val="26"/>
          <w:rtl w:val="0"/>
        </w:rPr>
        <w:t xml:space="preserve">Citation Formatting – Rules and Components</w:t>
      </w:r>
    </w:p>
    <w:p w:rsidR="00000000" w:rsidDel="00000000" w:rsidP="00000000" w:rsidRDefault="00000000" w:rsidRPr="00000000" w14:paraId="0000011C">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Citation constitutes one of the most fundamental components of academic research and scholarly writing. It is the mechanism through which researchers acknowledge the intellectual contributions of other scholars and provide readers with the information necessary to locate and verify sources. The practice of citation is deeply connected to the principles of academic integrity, intellectual honesty, transparency, and accountability. In the absence of proper citation, academic work loses credibility because readers cannot determine the origin of ideas, arguments, data, or evidence presented within the research.</w:t>
      </w:r>
    </w:p>
    <w:p w:rsidR="00000000" w:rsidDel="00000000" w:rsidP="00000000" w:rsidRDefault="00000000" w:rsidRPr="00000000" w14:paraId="0000011D">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importance of citation extends beyond preventing plagiarism. Citations serve as evidence of scholarly engagement and demonstrate that the researcher has consulted relevant literature and built upon existing knowledge. Academic research is inherently cumulative, with each study contributing to an ongoing conversation among scholars. Citations make this conversation visible by connecting current research to previous scholarship. Consequently, citation is not merely a technical requirement but a central element of scholarly communication.</w:t>
      </w:r>
    </w:p>
    <w:p w:rsidR="00000000" w:rsidDel="00000000" w:rsidP="00000000" w:rsidRDefault="00000000" w:rsidRPr="00000000" w14:paraId="0000011E">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Within the context of a research paper, citations perform multiple functions. They provide authority for claims, support arguments with evidence, acknowledge intellectual debts, facilitate verification of information, and guide readers toward additional sources for further study. Through these functions, citations contribute significantly to the credibility, reliability, and scholarly value of research.</w:t>
      </w:r>
    </w:p>
    <w:p w:rsidR="00000000" w:rsidDel="00000000" w:rsidP="00000000" w:rsidRDefault="00000000" w:rsidRPr="00000000" w14:paraId="0000011F">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Historical Development of Citation Practices</w:t>
      </w:r>
    </w:p>
    <w:p w:rsidR="00000000" w:rsidDel="00000000" w:rsidP="00000000" w:rsidRDefault="00000000" w:rsidRPr="00000000" w14:paraId="00000120">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practice of acknowledging sources has evolved considerably over time. Early scholarly works often relied on references to authoritative texts without employing standardised citation systems. As academic disciplines expanded and scholarly communication became increasingly formalised, the need for systematic citation practices became apparent.</w:t>
      </w:r>
    </w:p>
    <w:p w:rsidR="00000000" w:rsidDel="00000000" w:rsidP="00000000" w:rsidRDefault="00000000" w:rsidRPr="00000000" w14:paraId="00000121">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development of modern citation systems reflected broader efforts to enhance transparency and consistency within academic writing. Different disciplines developed citation styles tailored to their specific needs and conventions. These styles established rules regarding the presentation of references, footnotes, bibliographies, and in-text citations. Over time, citation practices became integral to academic culture and were incorporated into institutional guidelines, publication standards, and professional ethics codes.</w:t>
      </w:r>
    </w:p>
    <w:p w:rsidR="00000000" w:rsidDel="00000000" w:rsidP="00000000" w:rsidRDefault="00000000" w:rsidRPr="00000000" w14:paraId="00000122">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Today, citation serves not only as a mechanism for acknowledging sources but also as a means of maintaining the integrity and reliability of scholarly communication.</w:t>
      </w:r>
    </w:p>
    <w:p w:rsidR="00000000" w:rsidDel="00000000" w:rsidP="00000000" w:rsidRDefault="00000000" w:rsidRPr="00000000" w14:paraId="00000123">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Purpose and Functions of Citation</w:t>
      </w:r>
    </w:p>
    <w:p w:rsidR="00000000" w:rsidDel="00000000" w:rsidP="00000000" w:rsidRDefault="00000000" w:rsidRPr="00000000" w14:paraId="00000124">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primary purpose of citation is to acknowledge the intellectual contributions of others. Academic research rarely occurs in isolation; rather, it builds upon previous studies, theories, and discoveries. Citations ensure that credit is given to the individuals whose work has informed the research.</w:t>
      </w:r>
    </w:p>
    <w:p w:rsidR="00000000" w:rsidDel="00000000" w:rsidP="00000000" w:rsidRDefault="00000000" w:rsidRPr="00000000" w14:paraId="00000125">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Another important function of citation is verification. Readers must be able to examine the sources upon which arguments and conclusions are based. Citations provide the information necessary to locate these sources and assess their credibility. This transparency enhances confidence in the research and allows readers to evaluate the strength of the evidence presented.</w:t>
      </w:r>
    </w:p>
    <w:p w:rsidR="00000000" w:rsidDel="00000000" w:rsidP="00000000" w:rsidRDefault="00000000" w:rsidRPr="00000000" w14:paraId="00000126">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Citations also facilitate scholarly dialogue. By identifying relevant sources, researchers enable readers to explore related literature and engage more deeply with the subject matter. In this way, citations contribute to the development of academic communities and the advancement of knowledge.</w:t>
      </w:r>
    </w:p>
    <w:p w:rsidR="00000000" w:rsidDel="00000000" w:rsidP="00000000" w:rsidRDefault="00000000" w:rsidRPr="00000000" w14:paraId="00000127">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Furthermore, citation serves an ethical function by preventing plagiarism. Academic integrity requires researchers to distinguish between their own ideas and those derived from others. Proper citation ensures that intellectual property is respected and that scholarly contributions are appropriately recognised.</w:t>
      </w:r>
    </w:p>
    <w:p w:rsidR="00000000" w:rsidDel="00000000" w:rsidP="00000000" w:rsidRDefault="00000000" w:rsidRPr="00000000" w14:paraId="00000128">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Major Citation Styles</w:t>
      </w:r>
    </w:p>
    <w:p w:rsidR="00000000" w:rsidDel="00000000" w:rsidP="00000000" w:rsidRDefault="00000000" w:rsidRPr="00000000" w14:paraId="00000129">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Different academic disciplines employ different citation styles. These styles vary in terms of formatting conventions, reference structures, and citation methods. The selection of a citation style depends upon disciplinary traditions, institutional requirements, and publication guidelines.</w:t>
      </w:r>
    </w:p>
    <w:p w:rsidR="00000000" w:rsidDel="00000000" w:rsidP="00000000" w:rsidRDefault="00000000" w:rsidRPr="00000000" w14:paraId="0000012A">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research frequently employs the Bluebook citation system, which is widely used in legal scholarship and judicial writing. The Bluebook provides detailed rules for citing cases, statutes, regulations, constitutions, books, journal articles, and online materials. Its emphasis on precision reflects the importance of authority and precedent within legal research.</w:t>
      </w:r>
    </w:p>
    <w:p w:rsidR="00000000" w:rsidDel="00000000" w:rsidP="00000000" w:rsidRDefault="00000000" w:rsidRPr="00000000" w14:paraId="0000012B">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Another widely used legal citation system is OSCOLA, which stands for the Oxford Standard for Citation of Legal Authorities. OSCOLA is particularly common in the United Kingdom and many Commonwealth jurisdictions. Unlike the Bluebook, OSCOLA relies heavily on footnotes and adopts a simpler formatting approach.</w:t>
      </w:r>
    </w:p>
    <w:p w:rsidR="00000000" w:rsidDel="00000000" w:rsidP="00000000" w:rsidRDefault="00000000" w:rsidRPr="00000000" w14:paraId="0000012C">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Regardless of the specific style employed, consistency is essential. Researchers must adhere to a single citation system throughout their papers in order to maintain professionalism and avoid confusion.</w:t>
      </w:r>
    </w:p>
    <w:p w:rsidR="00000000" w:rsidDel="00000000" w:rsidP="00000000" w:rsidRDefault="00000000" w:rsidRPr="00000000" w14:paraId="0000012D">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Citation and Research Quality</w:t>
      </w:r>
    </w:p>
    <w:p w:rsidR="00000000" w:rsidDel="00000000" w:rsidP="00000000" w:rsidRDefault="00000000" w:rsidRPr="00000000" w14:paraId="0000012E">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quality of a research paper is often influenced by the quality of its citations. Comprehensive and accurate referencing demonstrates engagement with relevant scholarship and strengthens the evidentiary foundation of the study. Conversely, inadequate citation practices may undermine credibility and raise concerns regarding the reliability of the research.</w:t>
      </w:r>
    </w:p>
    <w:p w:rsidR="00000000" w:rsidDel="00000000" w:rsidP="00000000" w:rsidRDefault="00000000" w:rsidRPr="00000000" w14:paraId="0000012F">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Researchers must therefore approach citation as an integral part of the research process rather than a final technical step. Effective citation requires careful documentation of sources during the research phase, accurate recording of bibliographic information, and consistent application of citation rules throughout the writing process.</w:t>
      </w:r>
    </w:p>
    <w:p w:rsidR="00000000" w:rsidDel="00000000" w:rsidP="00000000" w:rsidRDefault="00000000" w:rsidRPr="00000000" w14:paraId="00000130">
      <w:pPr>
        <w:spacing w:after="280" w:before="280" w:line="276" w:lineRule="auto"/>
        <w:jc w:val="both"/>
        <w:rPr>
          <w:rFonts w:ascii="Georgia" w:cs="Georgia" w:eastAsia="Georgia" w:hAnsi="Georgia"/>
          <w:sz w:val="24"/>
          <w:szCs w:val="24"/>
        </w:rPr>
      </w:pPr>
      <w:bookmarkStart w:colFirst="0" w:colLast="0" w:name="_t643hlm8crhv" w:id="0"/>
      <w:bookmarkEnd w:id="0"/>
      <w:r w:rsidDel="00000000" w:rsidR="00000000" w:rsidRPr="00000000">
        <w:rPr>
          <w:rFonts w:ascii="Georgia" w:cs="Georgia" w:eastAsia="Georgia" w:hAnsi="Georgia"/>
          <w:sz w:val="24"/>
          <w:szCs w:val="24"/>
          <w:rtl w:val="0"/>
        </w:rPr>
        <w:t xml:space="preserve">Ultimately, citation contributes to the integrity, transparency, and scholarly value of academic research. It enables readers to trace the development of ideas, evaluate evidence, and participate in ongoing scholarly conversations.</w:t>
      </w:r>
    </w:p>
    <w:p w:rsidR="00000000" w:rsidDel="00000000" w:rsidP="00000000" w:rsidRDefault="00000000" w:rsidRPr="00000000" w14:paraId="00000131">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Annexures</w:t>
      </w:r>
    </w:p>
    <w:p w:rsidR="00000000" w:rsidDel="00000000" w:rsidP="00000000" w:rsidRDefault="00000000" w:rsidRPr="00000000" w14:paraId="00000132">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Annexures constitute supplementary materials appended to a research paper in order to provide additional information that supports the main text. While the primary body of a research paper focuses on presenting and analysing information directly relevant to the research problem, annexures contain materials that may be useful to readers but would disrupt the flow of the discussion if included within the main chapters.</w:t>
      </w:r>
    </w:p>
    <w:p w:rsidR="00000000" w:rsidDel="00000000" w:rsidP="00000000" w:rsidRDefault="00000000" w:rsidRPr="00000000" w14:paraId="00000133">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inclusion of annexures reflects the principle of transparency in research. By providing access to supporting materials, researchers enable readers to evaluate the basis of their findings and understand the procedures employed during the investigation. Annexures therefore enhance the credibility and reliability of research by making underlying evidence more accessible.</w:t>
      </w:r>
    </w:p>
    <w:p w:rsidR="00000000" w:rsidDel="00000000" w:rsidP="00000000" w:rsidRDefault="00000000" w:rsidRPr="00000000" w14:paraId="00000134">
      <w:pPr>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Purpose of Annexures</w:t>
      </w:r>
    </w:p>
    <w:p w:rsidR="00000000" w:rsidDel="00000000" w:rsidP="00000000" w:rsidRDefault="00000000" w:rsidRPr="00000000" w14:paraId="00000135">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primary purpose of annexures is to provide supplementary information that supports the research without burdening the main text. Academic writing requires a balance between completeness and readability. Including extensive technical materials within the main discussion can distract readers from the central argument. Annexures resolve this problem by allowing researchers to include additional documentation separately.</w:t>
      </w:r>
    </w:p>
    <w:p w:rsidR="00000000" w:rsidDel="00000000" w:rsidP="00000000" w:rsidRDefault="00000000" w:rsidRPr="00000000" w14:paraId="00000136">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Annexures may contain a wide range of materials depending upon the nature of the study. In empirical research, annexures often include questionnaires, survey instruments, interview schedules, observation protocols, consent forms, statistical tables, and raw data. In legal research, annexures may contain copies of relevant statutes, judicial decisions, policy documents, treaties, or legislative materials. In interdisciplinary studies, annexures may include charts, diagrams, maps, photographs, and technical specifications.</w:t>
      </w:r>
    </w:p>
    <w:p w:rsidR="00000000" w:rsidDel="00000000" w:rsidP="00000000" w:rsidRDefault="00000000" w:rsidRPr="00000000" w14:paraId="00000137">
      <w:pPr>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Significance in Research Writing</w:t>
      </w:r>
    </w:p>
    <w:p w:rsidR="00000000" w:rsidDel="00000000" w:rsidP="00000000" w:rsidRDefault="00000000" w:rsidRPr="00000000" w14:paraId="00000138">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significance of annexures extends beyond their informational value. By providing access to supporting materials, annexures promote transparency and accountability. Readers can examine the evidence upon which conclusions are based and assess the appropriateness of research procedures.</w:t>
      </w:r>
    </w:p>
    <w:p w:rsidR="00000000" w:rsidDel="00000000" w:rsidP="00000000" w:rsidRDefault="00000000" w:rsidRPr="00000000" w14:paraId="00000139">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Annexures also contribute to reproducibility. Future researchers may consult annexures to understand the instruments, methodologies, and materials used in a study. This facilitates replication and supports the cumulative development of knowledge.</w:t>
      </w:r>
    </w:p>
    <w:p w:rsidR="00000000" w:rsidDel="00000000" w:rsidP="00000000" w:rsidRDefault="00000000" w:rsidRPr="00000000" w14:paraId="0000013A">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Furthermore, annexures enhance the professional presentation of research. They demonstrate attention to detail and provide readers with a comprehensive understanding of the research process. </w:t>
      </w:r>
    </w:p>
    <w:p w:rsidR="00000000" w:rsidDel="00000000" w:rsidP="00000000" w:rsidRDefault="00000000" w:rsidRPr="00000000" w14:paraId="0000013B">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Chapter Flow</w:t>
      </w:r>
    </w:p>
    <w:p w:rsidR="00000000" w:rsidDel="00000000" w:rsidP="00000000" w:rsidRDefault="00000000" w:rsidRPr="00000000" w14:paraId="0000013C">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Chapter flow refers to the logical sequence and progression of sections within a research paper. Effective chapter flow ensures that ideas are presented in an </w:t>
      </w:r>
      <w:r w:rsidDel="00000000" w:rsidR="00000000" w:rsidRPr="00000000">
        <w:rPr>
          <w:rFonts w:ascii="Georgia" w:cs="Georgia" w:eastAsia="Georgia" w:hAnsi="Georgia"/>
          <w:sz w:val="24"/>
          <w:szCs w:val="24"/>
          <w:rtl w:val="0"/>
        </w:rPr>
        <w:t xml:space="preserve">organise</w:t>
      </w:r>
      <w:r w:rsidDel="00000000" w:rsidR="00000000" w:rsidRPr="00000000">
        <w:rPr>
          <w:rFonts w:ascii="Georgia" w:cs="Georgia" w:eastAsia="Georgia" w:hAnsi="Georgia"/>
          <w:sz w:val="24"/>
          <w:szCs w:val="24"/>
          <w:rtl w:val="0"/>
        </w:rPr>
        <w:t xml:space="preserve">d and coherent manner, enabling readers to follow the development of the argument from beginning to end. The structure of a research paper should resemble a carefully planned journey in which each chapter builds upon the preceding one and contributes to the overall objectives of the study.</w:t>
      </w:r>
    </w:p>
    <w:p w:rsidR="00000000" w:rsidDel="00000000" w:rsidP="00000000" w:rsidRDefault="00000000" w:rsidRPr="00000000" w14:paraId="0000013D">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well-designed chapter flow serves several important functions. It facilitates comprehension, enhances readability, promotes logical reasoning, and strengthens the persuasiveness of the research. Conversely, poor organisation can create confusion, disrupt continuity, and undermine the effectiveness of the study.</w:t>
      </w:r>
    </w:p>
    <w:p w:rsidR="00000000" w:rsidDel="00000000" w:rsidP="00000000" w:rsidRDefault="00000000" w:rsidRPr="00000000" w14:paraId="0000013E">
      <w:pPr>
        <w:spacing w:after="280" w:before="28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Typical Research Paper Structure</w:t>
      </w:r>
    </w:p>
    <w:p w:rsidR="00000000" w:rsidDel="00000000" w:rsidP="00000000" w:rsidRDefault="00000000" w:rsidRPr="00000000" w14:paraId="0000013F">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chapter flow of a research paper generally begins with an introduction. The introduction establishes the context of the study by presenting the background, research problem, objectives, significance, and scope of the investigation. It provides readers with a roadmap of the research and explains why the topic merits examination.</w:t>
      </w:r>
    </w:p>
    <w:p w:rsidR="00000000" w:rsidDel="00000000" w:rsidP="00000000" w:rsidRDefault="00000000" w:rsidRPr="00000000" w14:paraId="00000140">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literature review follows the introduction and examines existing scholarship relevant to the research problem. This chapter situates the study within broader academic discussions and identifies gaps in knowledge that justify the research.</w:t>
      </w:r>
    </w:p>
    <w:p w:rsidR="00000000" w:rsidDel="00000000" w:rsidP="00000000" w:rsidRDefault="00000000" w:rsidRPr="00000000" w14:paraId="00000141">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methodology chapter explains how the research was conducted. It describes the research design, data sources, analytical methods, and procedures employed during the investigation. This chapter provides the foundation for evaluating the credibility of the findings.</w:t>
      </w:r>
    </w:p>
    <w:p w:rsidR="00000000" w:rsidDel="00000000" w:rsidP="00000000" w:rsidRDefault="00000000" w:rsidRPr="00000000" w14:paraId="00000142">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Subsequent chapters present findings and analysis. These chapters constitute the core of the research and address the research questions through systematic examination of evidence.</w:t>
      </w:r>
    </w:p>
    <w:p w:rsidR="00000000" w:rsidDel="00000000" w:rsidP="00000000" w:rsidRDefault="00000000" w:rsidRPr="00000000" w14:paraId="00000143">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discussion chapter interprets the findings and explores their implications. It connects the results to existing literature and considers broader theoretical, practical, and policy issues.</w:t>
      </w:r>
    </w:p>
    <w:p w:rsidR="00000000" w:rsidDel="00000000" w:rsidP="00000000" w:rsidRDefault="00000000" w:rsidRPr="00000000" w14:paraId="00000144">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conclusion summarises the major arguments and contributions of the study. Recommendations may also be included, particularly when the research seeks to inform policy or practice.</w:t>
      </w:r>
    </w:p>
    <w:p w:rsidR="00000000" w:rsidDel="00000000" w:rsidP="00000000" w:rsidRDefault="00000000" w:rsidRPr="00000000" w14:paraId="00000145">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progression reflects the logical sequence of the research process and contributes to the paper's overall coherence.</w:t>
      </w:r>
    </w:p>
    <w:p w:rsidR="00000000" w:rsidDel="00000000" w:rsidP="00000000" w:rsidRDefault="00000000" w:rsidRPr="00000000" w14:paraId="00000146">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Importance of Transitions</w:t>
      </w:r>
    </w:p>
    <w:p w:rsidR="00000000" w:rsidDel="00000000" w:rsidP="00000000" w:rsidRDefault="00000000" w:rsidRPr="00000000" w14:paraId="00000147">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Transitions play a critical role in academic writing because they connect different sections of a research paper and create continuity between ideas. A research paper consists of multiple chapters and subsections, each addressing different aspects of the research problem. Without effective transitions, these sections may appear disconnected, making it difficult for readers to follow the argument.</w:t>
      </w:r>
    </w:p>
    <w:p w:rsidR="00000000" w:rsidDel="00000000" w:rsidP="00000000" w:rsidRDefault="00000000" w:rsidRPr="00000000" w14:paraId="00000148">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Transitions function as intellectual bridges that guide readers through the progression of the research. They explain how one section relates to the next and demonstrate the logical relationship between different stages of the investigation.</w:t>
      </w:r>
    </w:p>
    <w:p w:rsidR="00000000" w:rsidDel="00000000" w:rsidP="00000000" w:rsidRDefault="00000000" w:rsidRPr="00000000" w14:paraId="00000149">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Characteristics of Effective Transitions</w:t>
      </w:r>
    </w:p>
    <w:p w:rsidR="00000000" w:rsidDel="00000000" w:rsidP="00000000" w:rsidRDefault="00000000" w:rsidRPr="00000000" w14:paraId="0000014A">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Effective transitions are clear, concise, and purposeful. They should not merely signal movement from one section to another but should explain why that movement is occurring. A strong transition establishes continuity by connecting previous discussions with forthcoming analysis.</w:t>
      </w:r>
    </w:p>
    <w:p w:rsidR="00000000" w:rsidDel="00000000" w:rsidP="00000000" w:rsidRDefault="00000000" w:rsidRPr="00000000" w14:paraId="0000014B">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 example, a transition from the literature review to the methodology chapter may explain that the gaps identified in existing scholarship necessitate a particular research approach. Similarly, a transition from findings to discussion may indicate that the observations presented in the findings section require interpretation and evaluation.</w:t>
      </w:r>
    </w:p>
    <w:p w:rsidR="00000000" w:rsidDel="00000000" w:rsidP="00000000" w:rsidRDefault="00000000" w:rsidRPr="00000000" w14:paraId="0000014C">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Transitions contribute significantly to coherence because they reinforce the logical structure of the research paper. Through effective transitions, researchers create a seamless narrative that enhances readability and intellectual engagement.</w:t>
      </w:r>
    </w:p>
    <w:p w:rsidR="00000000" w:rsidDel="00000000" w:rsidP="00000000" w:rsidRDefault="00000000" w:rsidRPr="00000000" w14:paraId="0000014D">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Understanding Coherence</w:t>
      </w:r>
    </w:p>
    <w:p w:rsidR="00000000" w:rsidDel="00000000" w:rsidP="00000000" w:rsidRDefault="00000000" w:rsidRPr="00000000" w14:paraId="0000014E">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Coherence refers to the logical organisation and interconnectedness of ideas within a research paper. A coherent paper presents information in a manner that is clear, systematic, and easy to follow. Every section contributes to the overall objectives of the study, and relationships between ideas are explicitly established.</w:t>
      </w:r>
    </w:p>
    <w:p w:rsidR="00000000" w:rsidDel="00000000" w:rsidP="00000000" w:rsidRDefault="00000000" w:rsidRPr="00000000" w14:paraId="0000014F">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Coherence is essential because research papers often address complex topics involving multiple concepts, theories, and sources of evidence. Without coherence, readers may struggle to understand the significance of the research or follow the progression of the argument.</w:t>
      </w:r>
    </w:p>
    <w:p w:rsidR="00000000" w:rsidDel="00000000" w:rsidP="00000000" w:rsidRDefault="00000000" w:rsidRPr="00000000" w14:paraId="00000150">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Achieving coherence requires careful planning and organisation. Researchers must ensure that each section addresses a specific purpose and contributes to the broader goals of the study. Consistency in terminology, concepts, and analytical frameworks further enhances coherence.</w:t>
      </w:r>
    </w:p>
    <w:p w:rsidR="00000000" w:rsidDel="00000000" w:rsidP="00000000" w:rsidRDefault="00000000" w:rsidRPr="00000000" w14:paraId="00000151">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Argument Development</w:t>
      </w:r>
    </w:p>
    <w:p w:rsidR="00000000" w:rsidDel="00000000" w:rsidP="00000000" w:rsidRDefault="00000000" w:rsidRPr="00000000" w14:paraId="00000152">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Argument development represents the process through which researchers construct, support, and refine their claims. Academic research is fundamentally argumentative in nature because it seeks to persuade readers regarding the validity of particular interpretations, explanations, or conclusions.</w:t>
      </w:r>
    </w:p>
    <w:p w:rsidR="00000000" w:rsidDel="00000000" w:rsidP="00000000" w:rsidRDefault="00000000" w:rsidRPr="00000000" w14:paraId="00000153">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Effective argument development begins with a clear research problem and well-defined objectives. Researchers must identify the central questions that their study seeks to address and formulate arguments that respond to those questions. Evidence collected during the research process should be systematically integrated into the argument, demonstrating how findings support specific claims.</w:t>
      </w:r>
    </w:p>
    <w:p w:rsidR="00000000" w:rsidDel="00000000" w:rsidP="00000000" w:rsidRDefault="00000000" w:rsidRPr="00000000" w14:paraId="00000154">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Strong arguments are characterised by logical reasoning, relevance, consistency, and evidentiary support. Researchers must explain not only what they have found but also why those findings matter and how they contribute to existing knowledge. This requires moving beyond description and engaging in critical analysis.</w:t>
      </w:r>
    </w:p>
    <w:p w:rsidR="00000000" w:rsidDel="00000000" w:rsidP="00000000" w:rsidRDefault="00000000" w:rsidRPr="00000000" w14:paraId="00000155">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Relationship Between Coherence and Argumentation</w:t>
      </w:r>
    </w:p>
    <w:p w:rsidR="00000000" w:rsidDel="00000000" w:rsidP="00000000" w:rsidRDefault="00000000" w:rsidRPr="00000000" w14:paraId="00000156">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Coherence and argument development are closely interconnected. A persuasive argument depends upon coherent organisation because readers must be able to follow the reasoning process from premises to conclusions. Similarly, coherence is strengthened when ideas are connected through a clearly articulated argument.</w:t>
      </w:r>
    </w:p>
    <w:p w:rsidR="00000000" w:rsidDel="00000000" w:rsidP="00000000" w:rsidRDefault="00000000" w:rsidRPr="00000000" w14:paraId="00000157">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most effective research papers maintain a continuous relationship between research questions, objectives, methodology, findings, discussion, and conclusions. Each component contributes to the development of the central argument and reinforces the overall contribution of the study.</w:t>
      </w:r>
    </w:p>
    <w:p w:rsidR="00000000" w:rsidDel="00000000" w:rsidP="00000000" w:rsidRDefault="00000000" w:rsidRPr="00000000" w14:paraId="00000158">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Significance for Academic Research</w:t>
      </w:r>
    </w:p>
    <w:p w:rsidR="00000000" w:rsidDel="00000000" w:rsidP="00000000" w:rsidRDefault="00000000" w:rsidRPr="00000000" w14:paraId="00000159">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quality of a research paper ultimately depends upon its coherence and the strength of its arguments. Even well-researched studies may fail to achieve their objectives if they lack logical organisation or persuasive analysis. Conversely, coherent writing and strong argument development enhance readability, credibility, and scholarly impact.</w:t>
      </w:r>
    </w:p>
    <w:p w:rsidR="00000000" w:rsidDel="00000000" w:rsidP="00000000" w:rsidRDefault="00000000" w:rsidRPr="00000000" w14:paraId="0000015A">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 this reason, researchers must devote careful attention to the organisation of ideas, the integration of evidence, and the logical progression of arguments. Through coherence and effective argumentation, research papers fulfil their primary purpose: communicating and advancing knowledge.</w:t>
      </w:r>
    </w:p>
    <w:p w:rsidR="00000000" w:rsidDel="00000000" w:rsidP="00000000" w:rsidRDefault="00000000" w:rsidRPr="00000000" w14:paraId="0000015B">
      <w:pPr>
        <w:spacing w:line="276" w:lineRule="auto"/>
        <w:jc w:val="both"/>
        <w:rPr>
          <w:rFonts w:ascii="Georgia" w:cs="Georgia" w:eastAsia="Georgia" w:hAnsi="Georgia"/>
          <w:b w:val="1"/>
          <w:bCs w:val="1"/>
          <w:sz w:val="26"/>
          <w:szCs w:val="26"/>
        </w:rPr>
      </w:pPr>
      <w:r w:rsidDel="00000000" w:rsidR="00000000" w:rsidRPr="00000000">
        <w:rPr>
          <w:rFonts w:ascii="Georgia" w:cs="Georgia" w:eastAsia="Georgia" w:hAnsi="Georgia"/>
          <w:b w:val="1"/>
          <w:bCs w:val="1"/>
          <w:sz w:val="26"/>
          <w:szCs w:val="26"/>
          <w:rtl w:val="0"/>
        </w:rPr>
        <w:t xml:space="preserve">Literature Review</w:t>
      </w:r>
      <w:r w:rsidDel="00000000" w:rsidR="00000000" w:rsidRPr="00000000">
        <w:rPr>
          <w:rFonts w:ascii="Georgia" w:cs="Georgia" w:eastAsia="Georgia" w:hAnsi="Georgia"/>
          <w:b w:val="1"/>
          <w:bCs w:val="1"/>
          <w:color w:val="17365d"/>
          <w:sz w:val="26"/>
          <w:szCs w:val="26"/>
          <w:rtl w:val="0"/>
        </w:rPr>
        <w:t xml:space="preserve"> </w:t>
      </w:r>
      <w:r w:rsidDel="00000000" w:rsidR="00000000" w:rsidRPr="00000000">
        <w:rPr>
          <w:rtl w:val="0"/>
        </w:rPr>
      </w:r>
    </w:p>
    <w:p w:rsidR="00000000" w:rsidDel="00000000" w:rsidP="00000000" w:rsidRDefault="00000000" w:rsidRPr="00000000" w14:paraId="0000015C">
      <w:pPr>
        <w:spacing w:line="276" w:lineRule="auto"/>
        <w:jc w:val="both"/>
        <w:rPr>
          <w:rFonts w:ascii="Georgia" w:cs="Georgia" w:eastAsia="Georgia" w:hAnsi="Georgia"/>
          <w:b w:val="1"/>
          <w:bCs w:val="1"/>
          <w:sz w:val="26"/>
          <w:szCs w:val="26"/>
        </w:rPr>
      </w:pPr>
      <w:r w:rsidDel="00000000" w:rsidR="00000000" w:rsidRPr="00000000">
        <w:rPr>
          <w:rtl w:val="0"/>
        </w:rPr>
      </w:r>
    </w:p>
    <w:p w:rsidR="00000000" w:rsidDel="00000000" w:rsidP="00000000" w:rsidRDefault="00000000" w:rsidRPr="00000000" w14:paraId="0000015D">
      <w:pPr>
        <w:pStyle w:val="Heading1"/>
        <w:numPr>
          <w:ilvl w:val="0"/>
          <w:numId w:val="5"/>
        </w:numPr>
        <w:spacing w:after="0" w:before="0" w:line="276" w:lineRule="auto"/>
        <w:ind w:left="265" w:hanging="280"/>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Source Mapping and Synthesis </w:t>
      </w:r>
    </w:p>
    <w:p w:rsidR="00000000" w:rsidDel="00000000" w:rsidP="00000000" w:rsidRDefault="00000000" w:rsidRPr="00000000" w14:paraId="0000015E">
      <w:pPr>
        <w:spacing w:after="538" w:line="276" w:lineRule="auto"/>
        <w:ind w:right="185"/>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Source mapping involves identifying and organising relevant books, journal articles, reports, and other scholarly materials related to the research topic. Synthesis refers to integrating ideas from multiple sources to develop a comprehensive understanding of the subject. </w:t>
      </w:r>
    </w:p>
    <w:p w:rsidR="00000000" w:rsidDel="00000000" w:rsidP="00000000" w:rsidRDefault="00000000" w:rsidRPr="00000000" w14:paraId="0000015F">
      <w:pPr>
        <w:pStyle w:val="Heading1"/>
        <w:numPr>
          <w:ilvl w:val="0"/>
          <w:numId w:val="5"/>
        </w:numPr>
        <w:spacing w:after="0" w:before="0" w:line="276" w:lineRule="auto"/>
        <w:ind w:left="265" w:hanging="280"/>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Identifying Core Sources</w:t>
      </w:r>
      <w:r w:rsidDel="00000000" w:rsidR="00000000" w:rsidRPr="00000000">
        <w:rPr>
          <w:rFonts w:ascii="Georgia" w:cs="Georgia" w:eastAsia="Georgia" w:hAnsi="Georgia"/>
          <w:b w:val="1"/>
          <w:bCs w:val="1"/>
          <w:color w:val="365f91"/>
          <w:sz w:val="24"/>
          <w:szCs w:val="24"/>
          <w:rtl w:val="0"/>
        </w:rPr>
        <w:t xml:space="preserve"> </w:t>
      </w:r>
    </w:p>
    <w:p w:rsidR="00000000" w:rsidDel="00000000" w:rsidP="00000000" w:rsidRDefault="00000000" w:rsidRPr="00000000" w14:paraId="00000160">
      <w:pPr>
        <w:spacing w:after="546" w:line="276" w:lineRule="auto"/>
        <w:ind w:left="-5"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Core sources are the most influential and relevant works within a field. Identifying these sources helps researchers understand foundational theories, concepts, and landmark studies. </w:t>
      </w:r>
    </w:p>
    <w:p w:rsidR="00000000" w:rsidDel="00000000" w:rsidP="00000000" w:rsidRDefault="00000000" w:rsidRPr="00000000" w14:paraId="00000161">
      <w:pPr>
        <w:pStyle w:val="Heading1"/>
        <w:numPr>
          <w:ilvl w:val="0"/>
          <w:numId w:val="5"/>
        </w:numPr>
        <w:spacing w:after="0" w:before="0" w:line="276" w:lineRule="auto"/>
        <w:ind w:left="265" w:hanging="280"/>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Distinguishing Primary and Secondary Literature </w:t>
      </w:r>
    </w:p>
    <w:p w:rsidR="00000000" w:rsidDel="00000000" w:rsidP="00000000" w:rsidRDefault="00000000" w:rsidRPr="00000000" w14:paraId="00000162">
      <w:pPr>
        <w:spacing w:after="546" w:line="276" w:lineRule="auto"/>
        <w:ind w:left="-5"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Primary literature contains original research findings, while secondary literature analyses, interprets, or summarises primary studies. Distinguishing between them ensures the use of reliable and authentic evidence. </w:t>
      </w:r>
    </w:p>
    <w:p w:rsidR="00000000" w:rsidDel="00000000" w:rsidP="00000000" w:rsidRDefault="00000000" w:rsidRPr="00000000" w14:paraId="00000163">
      <w:pPr>
        <w:pStyle w:val="Heading1"/>
        <w:numPr>
          <w:ilvl w:val="0"/>
          <w:numId w:val="5"/>
        </w:numPr>
        <w:spacing w:after="0" w:before="0" w:line="276" w:lineRule="auto"/>
        <w:ind w:left="265" w:hanging="280"/>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Thematic Reading </w:t>
      </w:r>
    </w:p>
    <w:p w:rsidR="00000000" w:rsidDel="00000000" w:rsidP="00000000" w:rsidRDefault="00000000" w:rsidRPr="00000000" w14:paraId="00000164">
      <w:pPr>
        <w:spacing w:after="6" w:line="276" w:lineRule="auto"/>
        <w:ind w:left="-5"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Thematic reading </w:t>
      </w:r>
      <w:r w:rsidDel="00000000" w:rsidR="00000000" w:rsidRPr="00000000">
        <w:rPr>
          <w:rFonts w:ascii="Georgia" w:cs="Georgia" w:eastAsia="Georgia" w:hAnsi="Georgia"/>
          <w:sz w:val="24"/>
          <w:szCs w:val="24"/>
          <w:rtl w:val="0"/>
        </w:rPr>
        <w:t xml:space="preserve">organise</w:t>
      </w:r>
      <w:r w:rsidDel="00000000" w:rsidR="00000000" w:rsidRPr="00000000">
        <w:rPr>
          <w:rFonts w:ascii="Georgia" w:cs="Georgia" w:eastAsia="Georgia" w:hAnsi="Georgia"/>
          <w:sz w:val="24"/>
          <w:szCs w:val="24"/>
          <w:rtl w:val="0"/>
        </w:rPr>
        <w:t xml:space="preserve">s literature according to recurring themes, concepts, or issues. </w:t>
      </w:r>
    </w:p>
    <w:p w:rsidR="00000000" w:rsidDel="00000000" w:rsidP="00000000" w:rsidRDefault="00000000" w:rsidRPr="00000000" w14:paraId="00000165">
      <w:pPr>
        <w:spacing w:after="546" w:line="276" w:lineRule="auto"/>
        <w:ind w:left="-5"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approach enables researchers to identify patterns and trends across multiple studies. </w:t>
      </w:r>
    </w:p>
    <w:p w:rsidR="00000000" w:rsidDel="00000000" w:rsidP="00000000" w:rsidRDefault="00000000" w:rsidRPr="00000000" w14:paraId="00000166">
      <w:pPr>
        <w:pStyle w:val="Heading1"/>
        <w:numPr>
          <w:ilvl w:val="0"/>
          <w:numId w:val="5"/>
        </w:numPr>
        <w:spacing w:after="0" w:before="0" w:line="276" w:lineRule="auto"/>
        <w:ind w:left="265" w:hanging="280"/>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Author-wise Mapping </w:t>
      </w:r>
    </w:p>
    <w:p w:rsidR="00000000" w:rsidDel="00000000" w:rsidP="00000000" w:rsidRDefault="00000000" w:rsidRPr="00000000" w14:paraId="00000167">
      <w:pPr>
        <w:spacing w:after="546" w:line="276" w:lineRule="auto"/>
        <w:ind w:left="-5"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Author-wise mapping examines the contributions of individual scholars and highlights how their ideas, theories, and findings have influenced the field. </w:t>
      </w:r>
    </w:p>
    <w:p w:rsidR="00000000" w:rsidDel="00000000" w:rsidP="00000000" w:rsidRDefault="00000000" w:rsidRPr="00000000" w14:paraId="00000168">
      <w:pPr>
        <w:pStyle w:val="Heading1"/>
        <w:numPr>
          <w:ilvl w:val="0"/>
          <w:numId w:val="5"/>
        </w:numPr>
        <w:spacing w:after="0" w:before="0" w:line="276" w:lineRule="auto"/>
        <w:ind w:left="265" w:hanging="280"/>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Issue-wise Mapping </w:t>
      </w:r>
    </w:p>
    <w:p w:rsidR="00000000" w:rsidDel="00000000" w:rsidP="00000000" w:rsidRDefault="00000000" w:rsidRPr="00000000" w14:paraId="00000169">
      <w:pPr>
        <w:spacing w:after="546" w:line="276" w:lineRule="auto"/>
        <w:ind w:left="-5"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Issue-wise mapping focuses on specific research questions or problems and analyses how different authors address those issues. </w:t>
      </w:r>
    </w:p>
    <w:p w:rsidR="00000000" w:rsidDel="00000000" w:rsidP="00000000" w:rsidRDefault="00000000" w:rsidRPr="00000000" w14:paraId="0000016A">
      <w:pPr>
        <w:pStyle w:val="Heading1"/>
        <w:numPr>
          <w:ilvl w:val="0"/>
          <w:numId w:val="5"/>
        </w:numPr>
        <w:spacing w:after="0" w:before="0" w:line="276" w:lineRule="auto"/>
        <w:ind w:left="265" w:hanging="280"/>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Locating Research Gaps </w:t>
      </w:r>
    </w:p>
    <w:p w:rsidR="00000000" w:rsidDel="00000000" w:rsidP="00000000" w:rsidRDefault="00000000" w:rsidRPr="00000000" w14:paraId="0000016B">
      <w:pPr>
        <w:spacing w:after="546" w:line="276" w:lineRule="auto"/>
        <w:ind w:left="-5"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literature review helps identify areas that remain underexplored, unresolved, or inadequately researched, thereby justifying the need for further study. </w:t>
      </w:r>
    </w:p>
    <w:p w:rsidR="00000000" w:rsidDel="00000000" w:rsidP="00000000" w:rsidRDefault="00000000" w:rsidRPr="00000000" w14:paraId="0000016C">
      <w:pPr>
        <w:pStyle w:val="Heading1"/>
        <w:numPr>
          <w:ilvl w:val="0"/>
          <w:numId w:val="5"/>
        </w:numPr>
        <w:spacing w:after="0" w:before="0" w:line="276" w:lineRule="auto"/>
        <w:ind w:left="265" w:hanging="280"/>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Comparing Arguments </w:t>
      </w:r>
    </w:p>
    <w:p w:rsidR="00000000" w:rsidDel="00000000" w:rsidP="00000000" w:rsidRDefault="00000000" w:rsidRPr="00000000" w14:paraId="0000016D">
      <w:pPr>
        <w:spacing w:after="546" w:line="276" w:lineRule="auto"/>
        <w:ind w:left="-5"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Researchers critically compare the viewpoints, methodologies, and conclusions of different authors to evaluate strengths, weaknesses, and areas of agreement or disagreement. </w:t>
      </w:r>
    </w:p>
    <w:p w:rsidR="00000000" w:rsidDel="00000000" w:rsidP="00000000" w:rsidRDefault="00000000" w:rsidRPr="00000000" w14:paraId="0000016E">
      <w:pPr>
        <w:pStyle w:val="Heading1"/>
        <w:numPr>
          <w:ilvl w:val="0"/>
          <w:numId w:val="5"/>
        </w:numPr>
        <w:spacing w:after="0" w:before="0" w:line="276" w:lineRule="auto"/>
        <w:ind w:left="265" w:hanging="280"/>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Tracking Debates </w:t>
      </w:r>
    </w:p>
    <w:p w:rsidR="00000000" w:rsidDel="00000000" w:rsidP="00000000" w:rsidRDefault="00000000" w:rsidRPr="00000000" w14:paraId="0000016F">
      <w:pPr>
        <w:spacing w:after="546" w:line="276" w:lineRule="auto"/>
        <w:ind w:left="-5"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Academic debates reveal competing perspectives on a topic. Examining these debates helps researchers understand the complexity of the subject matter. </w:t>
      </w:r>
    </w:p>
    <w:p w:rsidR="00000000" w:rsidDel="00000000" w:rsidP="00000000" w:rsidRDefault="00000000" w:rsidRPr="00000000" w14:paraId="00000170">
      <w:pPr>
        <w:pStyle w:val="Heading1"/>
        <w:numPr>
          <w:ilvl w:val="0"/>
          <w:numId w:val="5"/>
        </w:numPr>
        <w:spacing w:after="0" w:before="0" w:line="276" w:lineRule="auto"/>
        <w:ind w:left="405" w:hanging="420"/>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Synthesising Instead of Summarising </w:t>
      </w:r>
    </w:p>
    <w:p w:rsidR="00000000" w:rsidDel="00000000" w:rsidP="00000000" w:rsidRDefault="00000000" w:rsidRPr="00000000" w14:paraId="00000171">
      <w:pPr>
        <w:spacing w:after="546" w:line="276" w:lineRule="auto"/>
        <w:ind w:left="-5"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good literature review integrates findings from various sources rather than merely presenting separate summaries of individual studies. </w:t>
      </w:r>
    </w:p>
    <w:p w:rsidR="00000000" w:rsidDel="00000000" w:rsidP="00000000" w:rsidRDefault="00000000" w:rsidRPr="00000000" w14:paraId="00000172">
      <w:pPr>
        <w:pStyle w:val="Heading1"/>
        <w:numPr>
          <w:ilvl w:val="0"/>
          <w:numId w:val="5"/>
        </w:numPr>
        <w:spacing w:after="0" w:before="0" w:line="276" w:lineRule="auto"/>
        <w:ind w:left="405" w:hanging="420"/>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Building Conceptual Categories </w:t>
      </w:r>
    </w:p>
    <w:p w:rsidR="00000000" w:rsidDel="00000000" w:rsidP="00000000" w:rsidRDefault="00000000" w:rsidRPr="00000000" w14:paraId="00000173">
      <w:pPr>
        <w:spacing w:after="546" w:line="276" w:lineRule="auto"/>
        <w:ind w:left="-5"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Conceptual categories group related ideas and concepts together, helping researchers develop theoretical frameworks and analytical structures. </w:t>
      </w:r>
    </w:p>
    <w:p w:rsidR="00000000" w:rsidDel="00000000" w:rsidP="00000000" w:rsidRDefault="00000000" w:rsidRPr="00000000" w14:paraId="00000174">
      <w:pPr>
        <w:pStyle w:val="Heading1"/>
        <w:numPr>
          <w:ilvl w:val="0"/>
          <w:numId w:val="5"/>
        </w:numPr>
        <w:spacing w:after="0" w:before="0" w:line="276" w:lineRule="auto"/>
        <w:ind w:left="405" w:hanging="420"/>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Linking Literature to the Research Problem </w:t>
      </w:r>
    </w:p>
    <w:p w:rsidR="00000000" w:rsidDel="00000000" w:rsidP="00000000" w:rsidRDefault="00000000" w:rsidRPr="00000000" w14:paraId="00000175">
      <w:pPr>
        <w:spacing w:after="546" w:line="276" w:lineRule="auto"/>
        <w:ind w:left="-5"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literature review should clearly demonstrate how existing scholarship relates to the specific research problem and supports the rationale for the study. </w:t>
      </w:r>
    </w:p>
    <w:p w:rsidR="00000000" w:rsidDel="00000000" w:rsidP="00000000" w:rsidRDefault="00000000" w:rsidRPr="00000000" w14:paraId="00000176">
      <w:pPr>
        <w:pStyle w:val="Heading1"/>
        <w:numPr>
          <w:ilvl w:val="0"/>
          <w:numId w:val="5"/>
        </w:numPr>
        <w:spacing w:after="0" w:before="0" w:line="276" w:lineRule="auto"/>
        <w:ind w:left="405" w:hanging="420"/>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Preparing Review Matrices </w:t>
      </w:r>
    </w:p>
    <w:p w:rsidR="00000000" w:rsidDel="00000000" w:rsidP="00000000" w:rsidRDefault="00000000" w:rsidRPr="00000000" w14:paraId="00000177">
      <w:pPr>
        <w:spacing w:after="546" w:line="276" w:lineRule="auto"/>
        <w:ind w:left="-5"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Review matrices </w:t>
      </w:r>
      <w:r w:rsidDel="00000000" w:rsidR="00000000" w:rsidRPr="00000000">
        <w:rPr>
          <w:rFonts w:ascii="Georgia" w:cs="Georgia" w:eastAsia="Georgia" w:hAnsi="Georgia"/>
          <w:sz w:val="24"/>
          <w:szCs w:val="24"/>
          <w:rtl w:val="0"/>
        </w:rPr>
        <w:t xml:space="preserve">organise</w:t>
      </w:r>
      <w:r w:rsidDel="00000000" w:rsidR="00000000" w:rsidRPr="00000000">
        <w:rPr>
          <w:rFonts w:ascii="Georgia" w:cs="Georgia" w:eastAsia="Georgia" w:hAnsi="Georgia"/>
          <w:sz w:val="24"/>
          <w:szCs w:val="24"/>
          <w:rtl w:val="0"/>
        </w:rPr>
        <w:t xml:space="preserve"> information about authors, objectives, methods, findings, and limitations in a structured format, making comparison easier. </w:t>
      </w:r>
    </w:p>
    <w:p w:rsidR="00000000" w:rsidDel="00000000" w:rsidP="00000000" w:rsidRDefault="00000000" w:rsidRPr="00000000" w14:paraId="00000178">
      <w:pPr>
        <w:pStyle w:val="Heading1"/>
        <w:numPr>
          <w:ilvl w:val="0"/>
          <w:numId w:val="5"/>
        </w:numPr>
        <w:spacing w:after="0" w:before="0" w:line="276" w:lineRule="auto"/>
        <w:ind w:left="405" w:hanging="420"/>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Citation Discipline </w:t>
      </w:r>
    </w:p>
    <w:p w:rsidR="00000000" w:rsidDel="00000000" w:rsidP="00000000" w:rsidRDefault="00000000" w:rsidRPr="00000000" w14:paraId="00000179">
      <w:pPr>
        <w:spacing w:after="546" w:line="276" w:lineRule="auto"/>
        <w:ind w:left="-5"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Proper citation practices ensure academic integrity, prevent plagiarism, and acknowledge the contributions of original authors. </w:t>
      </w:r>
    </w:p>
    <w:p w:rsidR="00000000" w:rsidDel="00000000" w:rsidP="00000000" w:rsidRDefault="00000000" w:rsidRPr="00000000" w14:paraId="0000017A">
      <w:pPr>
        <w:pStyle w:val="Heading1"/>
        <w:numPr>
          <w:ilvl w:val="0"/>
          <w:numId w:val="5"/>
        </w:numPr>
        <w:spacing w:after="0" w:before="0" w:line="276" w:lineRule="auto"/>
        <w:ind w:left="405" w:hanging="420"/>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Writing the Literature Review Coherently </w:t>
      </w:r>
    </w:p>
    <w:p w:rsidR="00000000" w:rsidDel="00000000" w:rsidP="00000000" w:rsidRDefault="00000000" w:rsidRPr="00000000" w14:paraId="0000017B">
      <w:pPr>
        <w:spacing w:after="546" w:line="276" w:lineRule="auto"/>
        <w:ind w:left="-5"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review should be written in a logical and </w:t>
      </w:r>
      <w:r w:rsidDel="00000000" w:rsidR="00000000" w:rsidRPr="00000000">
        <w:rPr>
          <w:rFonts w:ascii="Georgia" w:cs="Georgia" w:eastAsia="Georgia" w:hAnsi="Georgia"/>
          <w:sz w:val="24"/>
          <w:szCs w:val="24"/>
          <w:rtl w:val="0"/>
        </w:rPr>
        <w:t xml:space="preserve">organise</w:t>
      </w:r>
      <w:r w:rsidDel="00000000" w:rsidR="00000000" w:rsidRPr="00000000">
        <w:rPr>
          <w:rFonts w:ascii="Georgia" w:cs="Georgia" w:eastAsia="Georgia" w:hAnsi="Georgia"/>
          <w:sz w:val="24"/>
          <w:szCs w:val="24"/>
          <w:rtl w:val="0"/>
        </w:rPr>
        <w:t xml:space="preserve">d manner, connecting ideas smoothly and leading readers toward the identified research gap and study objectives. </w:t>
      </w:r>
    </w:p>
    <w:p w:rsidR="00000000" w:rsidDel="00000000" w:rsidP="00000000" w:rsidRDefault="00000000" w:rsidRPr="00000000" w14:paraId="0000017C">
      <w:pPr>
        <w:spacing w:after="4" w:line="276" w:lineRule="auto"/>
        <w:ind w:left="-5" w:firstLine="0"/>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7D">
      <w:pPr>
        <w:spacing w:after="4" w:line="276" w:lineRule="auto"/>
        <w:ind w:left="-5" w:firstLine="0"/>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7E">
      <w:pPr>
        <w:spacing w:after="40" w:line="276" w:lineRule="auto"/>
        <w:jc w:val="both"/>
        <w:rPr>
          <w:rFonts w:ascii="Georgia" w:cs="Georgia" w:eastAsia="Georgia" w:hAnsi="Georgia"/>
          <w:color w:val="3d85c6"/>
          <w:sz w:val="26"/>
          <w:szCs w:val="26"/>
        </w:rPr>
      </w:pPr>
      <w:r w:rsidDel="00000000" w:rsidR="00000000" w:rsidRPr="00000000">
        <w:rPr>
          <w:rFonts w:ascii="Georgia" w:cs="Georgia" w:eastAsia="Georgia" w:hAnsi="Georgia"/>
          <w:b w:val="1"/>
          <w:bCs w:val="1"/>
          <w:color w:val="3d85c6"/>
          <w:sz w:val="26"/>
          <w:szCs w:val="26"/>
          <w:rtl w:val="0"/>
        </w:rPr>
        <w:t xml:space="preserve">Research Question Guide</w:t>
      </w:r>
      <w:r w:rsidDel="00000000" w:rsidR="00000000" w:rsidRPr="00000000">
        <w:rPr>
          <w:rtl w:val="0"/>
        </w:rPr>
      </w:r>
    </w:p>
    <w:p w:rsidR="00000000" w:rsidDel="00000000" w:rsidP="00000000" w:rsidRDefault="00000000" w:rsidRPr="00000000" w14:paraId="0000017F">
      <w:pPr>
        <w:spacing w:after="120" w:line="276" w:lineRule="auto"/>
        <w:jc w:val="both"/>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80">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strong piece of legal scholarship rarely fails because of poor writing alone — it fails because the underlying question was never narrow enough, never answerable, or never truly a question at all. Editors who review submission after submission notice a recurring pattern: the prose is competent, the citations are in order, the law is stated correctly, and yet the piece does not seem to go anywhere. It restates the law, surveys a field, and ends with a paragraph of generic recommendations that could have been written before any research was done at all. In almost every such case, the root cause traces back to the earliest stage of the project — the moment at which the author chose what to write about without first deciding, with precision, what they were trying to find out.</w:t>
      </w:r>
    </w:p>
    <w:p w:rsidR="00000000" w:rsidDel="00000000" w:rsidP="00000000" w:rsidRDefault="00000000" w:rsidRPr="00000000" w14:paraId="00000181">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guide exists to intervene at that earliest stage. It is built on the premise that the single highest-leverage decision in any research project is the framing of the research question, because every subsequent decision — about methodology, sources, structure, length, and even the title — flows from it. A well-framed question does much of the structural work of the paper before a single section has been drafted: it tells the author what to read, what to ignore, where the argument must end up, and what would count as a meaningful finding. A poorly framed question, by contrast, leaves the author adrift midway through the writing process, often forced to either abandon months of work or retrofit a thesis onto material that was never gathered with a thesis in mind.</w:t>
      </w:r>
    </w:p>
    <w:p w:rsidR="00000000" w:rsidDel="00000000" w:rsidP="00000000" w:rsidRDefault="00000000" w:rsidRPr="00000000" w14:paraId="00000182">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guide is organised to mirror the actual sequence in which a research question tends to develop in practice: from a broad area of interest, to a focused issue, to a narrowed and answerable question, to a structured set of sub-questions, and finally through a series of checks — feasibility, source availability, originality, and relevance — that determine whether the question is ready to anchor a full submission. Authors are encouraged to use this guide iteratively — not as a one-time exercise completed before writing begins, but as a recurring check applied at multiple points during the research process, since the process of reading and researching often reveals that the original question needs to be refined, narrowed further, or in some cases substantially reframed.</w:t>
      </w:r>
    </w:p>
    <w:p w:rsidR="00000000" w:rsidDel="00000000" w:rsidP="00000000" w:rsidRDefault="00000000" w:rsidRPr="00000000" w14:paraId="00000183">
      <w:pPr>
        <w:pStyle w:val="Heading2"/>
        <w:keepNext w:val="0"/>
        <w:keepLines w:val="0"/>
        <w:spacing w:after="100" w:before="220" w:line="276" w:lineRule="auto"/>
        <w:jc w:val="both"/>
        <w:rPr>
          <w:rFonts w:ascii="Georgia" w:cs="Georgia" w:eastAsia="Georgia" w:hAnsi="Georgia"/>
          <w:b w:val="1"/>
          <w:bCs w:val="1"/>
          <w:color w:val="333333"/>
          <w:sz w:val="24"/>
          <w:szCs w:val="24"/>
        </w:rPr>
      </w:pPr>
      <w:r w:rsidDel="00000000" w:rsidR="00000000" w:rsidRPr="00000000">
        <w:rPr>
          <w:rFonts w:ascii="Georgia" w:cs="Georgia" w:eastAsia="Georgia" w:hAnsi="Georgia"/>
          <w:b w:val="1"/>
          <w:bCs w:val="1"/>
          <w:color w:val="333333"/>
          <w:sz w:val="24"/>
          <w:szCs w:val="24"/>
          <w:rtl w:val="0"/>
        </w:rPr>
        <w:t xml:space="preserve">Why This Is Especially Important in Legal Scholarship</w:t>
      </w:r>
    </w:p>
    <w:p w:rsidR="00000000" w:rsidDel="00000000" w:rsidP="00000000" w:rsidRDefault="00000000" w:rsidRPr="00000000" w14:paraId="00000184">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academic writing faces a particular structural temptation that other disciplines encounter less often: the availability of an enormous, well-organised body of primary material — statutes, rules, regulations, and reported judgments — that can be summarised at considerable length without ever requiring the author to take a position. A researcher can produce many pages that competently restate 'the law' on a subject, complete with citations to leading cases and academic commentary, without that material ever being marshalled toward answering a question. The writing looks like research because it deals with legal sources, but it functions closer to an annotated bibliography than to an argument.</w:t>
      </w:r>
    </w:p>
    <w:p w:rsidR="00000000" w:rsidDel="00000000" w:rsidP="00000000" w:rsidRDefault="00000000" w:rsidRPr="00000000" w14:paraId="00000185">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clearly framed research question is the discipline that prevents this. Once a question is fixed — particularly a question that has been narrowed along the dimensions discussed in Section 4 and tested against the descriptive/analytical distinction in Section 12 — every paragraph of the paper can be tested against a simple criterion: does this paragraph move the reader closer to an answer? Material that does not pass this test, however interesting or however much effort went into researching it, belongs in a footnote, an appendix, or a different paper entirely.</w:t>
      </w:r>
    </w:p>
    <w:p w:rsidR="00000000" w:rsidDel="00000000" w:rsidP="00000000" w:rsidRDefault="00000000" w:rsidRPr="00000000" w14:paraId="00000186">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There is also a professional dimension to this discipline. Reviewers, examiners, and editors evaluating legal scholarship are, in effect, evaluating two things at once: the quality of the author's command of the law, and the quality of the author's judgment in selecting what was worth writing about. The second of these is often the rarer skill, and it is the one this guide is principally concerned with.</w:t>
      </w:r>
    </w:p>
    <w:p w:rsidR="00000000" w:rsidDel="00000000" w:rsidP="00000000" w:rsidRDefault="00000000" w:rsidRPr="00000000" w14:paraId="00000187">
      <w:pPr>
        <w:pStyle w:val="Heading2"/>
        <w:keepNext w:val="0"/>
        <w:keepLines w:val="0"/>
        <w:spacing w:after="100" w:before="220" w:line="276" w:lineRule="auto"/>
        <w:jc w:val="both"/>
        <w:rPr>
          <w:rFonts w:ascii="Georgia" w:cs="Georgia" w:eastAsia="Georgia" w:hAnsi="Georgia"/>
          <w:b w:val="1"/>
          <w:bCs w:val="1"/>
          <w:color w:val="333333"/>
          <w:sz w:val="24"/>
          <w:szCs w:val="24"/>
        </w:rPr>
      </w:pPr>
      <w:r w:rsidDel="00000000" w:rsidR="00000000" w:rsidRPr="00000000">
        <w:rPr>
          <w:rFonts w:ascii="Georgia" w:cs="Georgia" w:eastAsia="Georgia" w:hAnsi="Georgia"/>
          <w:b w:val="1"/>
          <w:bCs w:val="1"/>
          <w:color w:val="333333"/>
          <w:sz w:val="24"/>
          <w:szCs w:val="24"/>
          <w:rtl w:val="0"/>
        </w:rPr>
        <w:t xml:space="preserve">Where Question-Framing Fits Within the Broader Research Process</w:t>
      </w:r>
    </w:p>
    <w:p w:rsidR="00000000" w:rsidDel="00000000" w:rsidP="00000000" w:rsidRDefault="00000000" w:rsidRPr="00000000" w14:paraId="00000188">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 is useful to situate the work of framing a research question within the larger arc of a legal research project, so that authors understand both why this stage deserves disproportionate attention and how it interacts with the stages that follow.</w:t>
      </w:r>
    </w:p>
    <w:p w:rsidR="00000000" w:rsidDel="00000000" w:rsidP="00000000" w:rsidRDefault="00000000" w:rsidRPr="00000000" w14:paraId="00000189">
      <w:pPr>
        <w:numPr>
          <w:ilvl w:val="0"/>
          <w:numId w:val="6"/>
        </w:numPr>
        <w:spacing w:after="60" w:line="276" w:lineRule="auto"/>
        <w:ind w:left="480" w:hanging="32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Exposure stage: the author encounters a broad area through coursework, a current event, a judgment, a piece of legislation, an internship experience, or general reading. At this stage, the author has, at most, a topic.</w:t>
      </w:r>
    </w:p>
    <w:p w:rsidR="00000000" w:rsidDel="00000000" w:rsidP="00000000" w:rsidRDefault="00000000" w:rsidRPr="00000000" w14:paraId="0000018A">
      <w:pPr>
        <w:numPr>
          <w:ilvl w:val="0"/>
          <w:numId w:val="6"/>
        </w:numPr>
        <w:spacing w:after="60" w:line="276" w:lineRule="auto"/>
        <w:ind w:left="480" w:hanging="32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Issue-spotting stage: within that broad area, the author begins to notice tensions, gaps, inconsistencies, or open questions — the raw material discussed in Section 3. Several candidate issues may emerge at once.</w:t>
      </w:r>
    </w:p>
    <w:p w:rsidR="00000000" w:rsidDel="00000000" w:rsidP="00000000" w:rsidRDefault="00000000" w:rsidRPr="00000000" w14:paraId="0000018B">
      <w:pPr>
        <w:numPr>
          <w:ilvl w:val="0"/>
          <w:numId w:val="6"/>
        </w:numPr>
        <w:spacing w:after="60" w:line="276" w:lineRule="auto"/>
        <w:ind w:left="480" w:hanging="32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Framing stage: one or more candidate issues are converted into draft research questions using the narrowing dimensions in Section 4, and tested against the doctrinal/empirical distinction in Section 6.</w:t>
      </w:r>
    </w:p>
    <w:p w:rsidR="00000000" w:rsidDel="00000000" w:rsidP="00000000" w:rsidRDefault="00000000" w:rsidRPr="00000000" w14:paraId="0000018C">
      <w:pPr>
        <w:numPr>
          <w:ilvl w:val="0"/>
          <w:numId w:val="6"/>
        </w:numPr>
        <w:spacing w:after="60" w:line="276" w:lineRule="auto"/>
        <w:ind w:left="480" w:hanging="32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Validation stage: the draft question is run through the feasibility, source-availability, and originality checks in Sections 8 through 10, often resulting in further narrowing or reframing.</w:t>
      </w:r>
    </w:p>
    <w:p w:rsidR="00000000" w:rsidDel="00000000" w:rsidP="00000000" w:rsidRDefault="00000000" w:rsidRPr="00000000" w14:paraId="0000018D">
      <w:pPr>
        <w:numPr>
          <w:ilvl w:val="0"/>
          <w:numId w:val="6"/>
        </w:numPr>
        <w:spacing w:after="60" w:line="276" w:lineRule="auto"/>
        <w:ind w:left="480" w:hanging="32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Structuring stage: the validated primary question is broken into sub-questions (Section 7), which in turn generate the paper's section headings and, often, its eventual table of contents.</w:t>
      </w:r>
    </w:p>
    <w:p w:rsidR="00000000" w:rsidDel="00000000" w:rsidP="00000000" w:rsidRDefault="00000000" w:rsidRPr="00000000" w14:paraId="0000018E">
      <w:pPr>
        <w:numPr>
          <w:ilvl w:val="0"/>
          <w:numId w:val="6"/>
        </w:numPr>
        <w:spacing w:after="60" w:line="276" w:lineRule="auto"/>
        <w:ind w:left="480" w:hanging="32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and writing stage: only at this point does the bulk of reading, source-gathering, and drafting begin — now guided by a question rather than preceding it.</w:t>
      </w:r>
    </w:p>
    <w:p w:rsidR="00000000" w:rsidDel="00000000" w:rsidP="00000000" w:rsidRDefault="00000000" w:rsidRPr="00000000" w14:paraId="0000018F">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common mistake is to treat stages one and six as though they were adjacent — to move directly from 'I am interested in X' to 'I will now read everything about X and start writing.' The intervening stages are not bureaucratic formalities; they are where the paper's eventual contribution is actually decided. Authors who skip them tend to discover, often quite late, that the reading they have done does not point toward any particular conclusion, because no conclusion was ever being sought.</w:t>
      </w:r>
    </w:p>
    <w:p w:rsidR="00000000" w:rsidDel="00000000" w:rsidP="00000000" w:rsidRDefault="00000000" w:rsidRPr="00000000" w14:paraId="00000190">
      <w:pPr>
        <w:pStyle w:val="Heading1"/>
        <w:keepNext w:val="0"/>
        <w:keepLines w:val="0"/>
        <w:pBdr>
          <w:bottom w:color="8b1a1a" w:space="1" w:sz="6" w:val="single"/>
        </w:pBdr>
        <w:spacing w:after="160" w:before="3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Topic Versus Question: The Foundational Distinction</w:t>
      </w:r>
    </w:p>
    <w:p w:rsidR="00000000" w:rsidDel="00000000" w:rsidP="00000000" w:rsidRDefault="00000000" w:rsidRPr="00000000" w14:paraId="00000191">
      <w:pPr>
        <w:pStyle w:val="Heading1"/>
        <w:keepNext w:val="0"/>
        <w:keepLines w:val="0"/>
        <w:pBdr>
          <w:bottom w:color="8b1a1a" w:space="1" w:sz="6" w:val="single"/>
        </w:pBdr>
        <w:spacing w:after="160" w:before="3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single most common defect in early-stage submissions is the conflation of a 'topic' with a 'research question.' A topic identifies a subject-matter area. A research question identifies a specific, contestable issue within that area that the paper will investigate and answer. This distinction sounds elementary when stated abstractly, but in practice it is remarkably easy to lose sight of, because a topic can be dressed up in the grammatical form of a question without acquiring the substance of one.</w:t>
      </w:r>
    </w:p>
    <w:p w:rsidR="00000000" w:rsidDel="00000000" w:rsidP="00000000" w:rsidRDefault="00000000" w:rsidRPr="00000000" w14:paraId="00000192">
      <w:pPr>
        <w:pStyle w:val="Heading1"/>
        <w:keepNext w:val="0"/>
        <w:keepLines w:val="0"/>
        <w:pBdr>
          <w:bottom w:color="8b1a1a" w:space="1" w:sz="6" w:val="single"/>
        </w:pBdr>
        <w:spacing w:after="160" w:before="3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Consider the difference between 'What about the right to privacy in India?' and 'Does the 'reasonable expectation of privacy' test, as articulated in Puttaswamy, provide a workable standard for assessing the constitutionality of facial recognition deployments by state police forces?' Both sentences end in question marks. Both concern the same broad subject. But the first is, in substance, an invitation to discuss — it could be answered by an essay of almost any length, on almost any aspect of privacy law, without the author ever being 'wrong.' The second sentence is a genuine question: it identifies a specific legal test, a specific technological practice, a specific category of actor, and it can, in principle, be answered with a 'yes,' 'no,' or 'partially, subject to certain conditions' — together with reasons.</w:t>
      </w:r>
    </w:p>
    <w:p w:rsidR="00000000" w:rsidDel="00000000" w:rsidP="00000000" w:rsidRDefault="00000000" w:rsidRPr="00000000" w14:paraId="00000193">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Why the Distinction Matters</w:t>
      </w:r>
    </w:p>
    <w:p w:rsidR="00000000" w:rsidDel="00000000" w:rsidP="00000000" w:rsidRDefault="00000000" w:rsidRPr="00000000" w14:paraId="00000194">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topic tells the reader what the paper is about. A question tells the reader what the paper will argue, test, or resolve. Only the latter gives a paper its spine — its thesis, its structure, and its contribution. This has consequences that extend well beyond the framing exercise itself, and it is worth tracing through several of them explicitly, because each corresponds to a recognisable symptom that editors see in submissions built around topics rather than questions.</w:t>
      </w:r>
    </w:p>
    <w:p w:rsidR="00000000" w:rsidDel="00000000" w:rsidP="00000000" w:rsidRDefault="00000000" w:rsidRPr="00000000" w14:paraId="00000195">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First, a topic provides no organising principle for selecting sources. If the paper is 'about' data protection law, then every statute, every reported judgment, every regulatory circular, and every piece of academic commentary touching on data protection is, in principle, relevant — which in practice means the author has no principled way to decide what to leave out, and ends up either attempting impossible comprehensiveness or making arbitrary cuts. A question, by contrast, makes relevance a function of the question itself: a source is relevant if and only if it bears on the answer.</w:t>
      </w:r>
    </w:p>
    <w:p w:rsidR="00000000" w:rsidDel="00000000" w:rsidP="00000000" w:rsidRDefault="00000000" w:rsidRPr="00000000" w14:paraId="00000196">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Second, a topic provides no test for when the research phase is 'done.' An author researching a topic can, in principle, keep reading indefinitely, because there is always more that could be said about data protection law. An author researching a question reaches a natural point — sometimes after surprisingly little reading — at which the available material is sufficient to attempt an answer, even if that answer is provisional or contested. This is one of the most practically valuable effects of question-framing: it converts an open-ended task into one with a discernible endpoint.</w:t>
      </w:r>
    </w:p>
    <w:p w:rsidR="00000000" w:rsidDel="00000000" w:rsidP="00000000" w:rsidRDefault="00000000" w:rsidRPr="00000000" w14:paraId="00000197">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Third, a topic provides no basis for a thesis statement. A reader who finishes a topic-based paper often cannot say, in a single sentence, what the author concluded — because the author did not set out to conclude anything, only to describe. A reader who finishes a question-based paper should be able to state the author's answer to the research question in one or two sentences, even if that answer is 'the doctrine is internally inconsistent, and courts should adopt approach X' or 'the empirical evidence does not support the assumption underlying this provision.'</w:t>
      </w:r>
    </w:p>
    <w:p w:rsidR="00000000" w:rsidDel="00000000" w:rsidP="00000000" w:rsidRDefault="00000000" w:rsidRPr="00000000" w14:paraId="00000198">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Fourth — and this is particularly relevant to journal publication — a topic provides no basis for assessing originality (see Section 10). It is meaningless to ask whether 'something has already been written about data protection law,' because of course it has; the field is vast. It is entirely meaningful to ask whether the specific question — applied to this jurisdiction, this time period, this institution, this doctrine — has already been answered. Originality is a property of questions, not of topics.</w:t>
      </w:r>
    </w:p>
    <w:p w:rsidR="00000000" w:rsidDel="00000000" w:rsidP="00000000" w:rsidRDefault="00000000" w:rsidRPr="00000000" w14:paraId="00000199">
      <w:pPr>
        <w:pBdr>
          <w:left w:color="8b1a1a" w:space="8" w:sz="18" w:val="single"/>
        </w:pBdr>
        <w:spacing w:after="160" w:before="80" w:line="276" w:lineRule="auto"/>
        <w:ind w:left="360" w:firstLine="0"/>
        <w:jc w:val="both"/>
        <w:rPr>
          <w:rFonts w:ascii="Georgia" w:cs="Georgia" w:eastAsia="Georgia" w:hAnsi="Georgia"/>
          <w:sz w:val="24"/>
          <w:szCs w:val="24"/>
        </w:rPr>
      </w:pPr>
      <w:r w:rsidDel="00000000" w:rsidR="00000000" w:rsidRPr="00000000">
        <w:rPr>
          <w:rFonts w:ascii="Georgia" w:cs="Georgia" w:eastAsia="Georgia" w:hAnsi="Georgia"/>
          <w:b w:val="1"/>
          <w:bCs w:val="1"/>
          <w:i w:val="1"/>
          <w:iCs w:val="1"/>
          <w:sz w:val="24"/>
          <w:szCs w:val="24"/>
          <w:rtl w:val="0"/>
        </w:rPr>
        <w:t xml:space="preserve">Topic: </w:t>
      </w:r>
      <w:r w:rsidDel="00000000" w:rsidR="00000000" w:rsidRPr="00000000">
        <w:rPr>
          <w:rFonts w:ascii="Georgia" w:cs="Georgia" w:eastAsia="Georgia" w:hAnsi="Georgia"/>
          <w:i w:val="1"/>
          <w:iCs w:val="1"/>
          <w:sz w:val="24"/>
          <w:szCs w:val="24"/>
          <w:rtl w:val="0"/>
        </w:rPr>
        <w:t xml:space="preserve">Data protection law in India.</w:t>
      </w:r>
      <w:r w:rsidDel="00000000" w:rsidR="00000000" w:rsidRPr="00000000">
        <w:rPr>
          <w:rtl w:val="0"/>
        </w:rPr>
      </w:r>
    </w:p>
    <w:p w:rsidR="00000000" w:rsidDel="00000000" w:rsidP="00000000" w:rsidRDefault="00000000" w:rsidRPr="00000000" w14:paraId="0000019A">
      <w:pPr>
        <w:pBdr>
          <w:left w:color="8b1a1a" w:space="8" w:sz="18" w:val="single"/>
        </w:pBdr>
        <w:spacing w:after="160" w:before="80" w:line="276" w:lineRule="auto"/>
        <w:ind w:left="360" w:firstLine="0"/>
        <w:jc w:val="both"/>
        <w:rPr>
          <w:rFonts w:ascii="Georgia" w:cs="Georgia" w:eastAsia="Georgia" w:hAnsi="Georgia"/>
          <w:sz w:val="24"/>
          <w:szCs w:val="24"/>
        </w:rPr>
      </w:pPr>
      <w:r w:rsidDel="00000000" w:rsidR="00000000" w:rsidRPr="00000000">
        <w:rPr>
          <w:rFonts w:ascii="Georgia" w:cs="Georgia" w:eastAsia="Georgia" w:hAnsi="Georgia"/>
          <w:b w:val="1"/>
          <w:bCs w:val="1"/>
          <w:i w:val="1"/>
          <w:iCs w:val="1"/>
          <w:sz w:val="24"/>
          <w:szCs w:val="24"/>
          <w:rtl w:val="0"/>
        </w:rPr>
        <w:t xml:space="preserve">Question: </w:t>
      </w:r>
      <w:r w:rsidDel="00000000" w:rsidR="00000000" w:rsidRPr="00000000">
        <w:rPr>
          <w:rFonts w:ascii="Georgia" w:cs="Georgia" w:eastAsia="Georgia" w:hAnsi="Georgia"/>
          <w:i w:val="1"/>
          <w:iCs w:val="1"/>
          <w:sz w:val="24"/>
          <w:szCs w:val="24"/>
          <w:rtl w:val="0"/>
        </w:rPr>
        <w:t xml:space="preserve">Does the 'deemed consent' exception under Section 7(a) of the Digital Personal Data Protection Act, 2023 provide sufficient safeguards against function creep in government data-sharing arrangements?</w:t>
      </w:r>
      <w:r w:rsidDel="00000000" w:rsidR="00000000" w:rsidRPr="00000000">
        <w:rPr>
          <w:rtl w:val="0"/>
        </w:rPr>
      </w:r>
    </w:p>
    <w:p w:rsidR="00000000" w:rsidDel="00000000" w:rsidP="00000000" w:rsidRDefault="00000000" w:rsidRPr="00000000" w14:paraId="0000019B">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Notice that the question identifies a specific provision, a specific risk (function creep), a specific context (government data-sharing), and implies a normative standard (sufficiency of safeguards) against which the answer can be tested. An author working from this question already knows, before reading a single source, the broad shape of what they need to find: the text and legislative history of Section 7(a); examples or precedents of 'function creep' in comparable data-sharing arrangements, whether in India or abroad; and some articulated standard — drawn from constitutional doctrine, comparative law, or policy literature — against which 'sufficiency' can be measured. None of that follows from the topic alone.</w:t>
      </w:r>
    </w:p>
    <w:p w:rsidR="00000000" w:rsidDel="00000000" w:rsidP="00000000" w:rsidRDefault="00000000" w:rsidRPr="00000000" w14:paraId="0000019C">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 Quick Diagnostic</w:t>
      </w:r>
    </w:p>
    <w:p w:rsidR="00000000" w:rsidDel="00000000" w:rsidP="00000000" w:rsidRDefault="00000000" w:rsidRPr="00000000" w14:paraId="0000019D">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If a sentence can be answered only with an extended description — i.e., if the natural response is 'well, there's a lot to say about that' — it is a topic, not a question. If the sentence can, in principle, be answered with a position, a finding, or a recommendation, it is a workable research question.</w:t>
      </w:r>
    </w:p>
    <w:p w:rsidR="00000000" w:rsidDel="00000000" w:rsidP="00000000" w:rsidRDefault="00000000" w:rsidRPr="00000000" w14:paraId="0000019E">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second, related diagnostic is to imagine the paper's conclusion section before any research has been done, and ask what kind of sentence would have to appear there. If the honest answer is 'a summary of everything discussed in the preceding sections,' the underlying question is likely still a topic. If the honest answer is 'a statement of what the answer to the research question turned out to be, and what follows from it,' the question is workable — even though, at this early stage, the author cannot yet know what that answer will actually be. The point of the diagnostic is not to predict the conclusion, but to confirm that the question is of a kind that has a conclusion at all.</w:t>
      </w:r>
    </w:p>
    <w:p w:rsidR="00000000" w:rsidDel="00000000" w:rsidP="00000000" w:rsidRDefault="00000000" w:rsidRPr="00000000" w14:paraId="0000019F">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third diagnostic, useful for borderline cases, is to ask whether a knowledgeable colleague, on hearing the question, could reasonably take the opposite position from the one the author currently holds. If the question is 'Should hate speech be regulated?', almost no one would seriously argue 'no, hate speech should never be regulated in any form' — the question is too broad to generate genuine disagreement, which usually signals that it is operating at the level of a topic. If the question is 'Does the 'reasonable person' standard under Section 153A of the Indian Penal Code, as applied by trial courts, set a threshold for hate speech prosecutions that is so low as to chill legitimate political satire?', a knowledgeable colleague could plausibly disagree in either direction — and that capacity for genuine disagreement is itself evidence that the question has analytical content.</w:t>
      </w:r>
    </w:p>
    <w:p w:rsidR="00000000" w:rsidDel="00000000" w:rsidP="00000000" w:rsidRDefault="00000000" w:rsidRPr="00000000" w14:paraId="000001A0">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Topics Disguised as Questions: A Catalogue of Patterns</w:t>
      </w:r>
    </w:p>
    <w:p w:rsidR="00000000" w:rsidDel="00000000" w:rsidP="00000000" w:rsidRDefault="00000000" w:rsidRPr="00000000" w14:paraId="000001A1">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Because the surface grammar of a sentence can mislead, it is useful to catalogue the recurring patterns by which topics masquerade as questions. Recognising these patterns is often faster than applying the diagnostics above from first principles each time.</w:t>
      </w:r>
    </w:p>
    <w:p w:rsidR="00000000" w:rsidDel="00000000" w:rsidP="00000000" w:rsidRDefault="00000000" w:rsidRPr="00000000" w14:paraId="000001A2">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'survey' question: 'What is the legal framework governing X?' — answerable only by description, with no point at which the description ends and an argument begins.</w:t>
      </w:r>
    </w:p>
    <w:p w:rsidR="00000000" w:rsidDel="00000000" w:rsidP="00000000" w:rsidRDefault="00000000" w:rsidRPr="00000000" w14:paraId="000001A3">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'umbrella' question: 'How does Indian law deal with Y?', where Y is broad enough to span multiple statutes, institutions, and doctrines, none of which is singled out.</w:t>
      </w:r>
    </w:p>
    <w:p w:rsidR="00000000" w:rsidDel="00000000" w:rsidP="00000000" w:rsidRDefault="00000000" w:rsidRPr="00000000" w14:paraId="000001A4">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'rhetorical' question: 'Is it time for India to reform its Z law?', where the expected answer is so obviously 'yes' that the question generates no genuine inquiry — it is an invitation to list reform proposals rather than to investigate anything.</w:t>
      </w:r>
    </w:p>
    <w:p w:rsidR="00000000" w:rsidDel="00000000" w:rsidP="00000000" w:rsidRDefault="00000000" w:rsidRPr="00000000" w14:paraId="000001A5">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'everything and nothing' question: 'What are the challenges and opportunities in the regulation of W?', where 'challenges and opportunities' is broad enough to accommodate any material the author happens to have gathered, regardless of whether it was gathered for a reason.</w:t>
      </w:r>
    </w:p>
    <w:p w:rsidR="00000000" w:rsidDel="00000000" w:rsidP="00000000" w:rsidRDefault="00000000" w:rsidRPr="00000000" w14:paraId="000001A6">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'compound' question: 'How does X work, and what are its implications, and should it be reformed?', which bundles a descriptive question, an analytical question, and a normative question together without resolving which of the three the paper is actually structured around.</w:t>
      </w:r>
    </w:p>
    <w:p w:rsidR="00000000" w:rsidDel="00000000" w:rsidP="00000000" w:rsidRDefault="00000000" w:rsidRPr="00000000" w14:paraId="000001A7">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each case, the remedy is the same: apply the narrowing dimensions in Section 4, identify the single focused issue described in Section 3, and rewrite the question so that it can be answered rather than merely discussed.</w:t>
      </w:r>
    </w:p>
    <w:p w:rsidR="00000000" w:rsidDel="00000000" w:rsidP="00000000" w:rsidRDefault="00000000" w:rsidRPr="00000000" w14:paraId="000001A8">
      <w:pPr>
        <w:pStyle w:val="Heading1"/>
        <w:keepNext w:val="0"/>
        <w:keepLines w:val="0"/>
        <w:pBdr>
          <w:bottom w:color="8b1a1a" w:space="1" w:sz="6" w:val="single"/>
        </w:pBdr>
        <w:spacing w:after="160" w:before="3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Identifying a Focused Legal Issue</w:t>
      </w:r>
    </w:p>
    <w:p w:rsidR="00000000" w:rsidDel="00000000" w:rsidP="00000000" w:rsidRDefault="00000000" w:rsidRPr="00000000" w14:paraId="000001A9">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focused legal issue is the analytical core of the question — the precise point of law, gap, ambiguity, conflict, or normative problem that the paper exists to address. Authors should be able to state this issue in a single sentence without using the words 'and,' 'various,' or 'several.' The discipline of a single-sentence statement is not pedantic; it is a forcing mechanism. The presence of 'and' in a statement of the core issue almost always indicates that the author is, in fact, contemplating two papers rather than one, or has not yet decided which of two candidate issues is primary.</w:t>
      </w:r>
    </w:p>
    <w:p w:rsidR="00000000" w:rsidDel="00000000" w:rsidP="00000000" w:rsidRDefault="00000000" w:rsidRPr="00000000" w14:paraId="000001AA">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 is worth dwelling on what 'focused' means here, because the term can be misread as simply 'narrow' in the sense of 'small.' The issue 'whether the basic structure doctrine constrains the amending power in relation to fundamental rights' is enormous in its implications, but it is focused, because it identifies one specific question (does the doctrine apply here?) rather than an open-ended invitation to discuss the basic structure doctrine generally.</w:t>
      </w:r>
    </w:p>
    <w:p w:rsidR="00000000" w:rsidDel="00000000" w:rsidP="00000000" w:rsidRDefault="00000000" w:rsidRPr="00000000" w14:paraId="000001AB">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Common Sources of a Focused Issue</w:t>
      </w:r>
    </w:p>
    <w:p w:rsidR="00000000" w:rsidDel="00000000" w:rsidP="00000000" w:rsidRDefault="00000000" w:rsidRPr="00000000" w14:paraId="000001AC">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Focused issues do not appear from nowhere; they tend to arise from a recognisable set of situations within the law. Being able to name the type of issue one has found is itself useful, because each type tends to call for a somewhat different research approach — a statutory ambiguity calls for close textual and legislative-history work, while an enforcement gap calls for empirical or institutional research. The categories below are not mutually exclusive, and many strong papers combine more than one.</w:t>
      </w:r>
    </w:p>
    <w:p w:rsidR="00000000" w:rsidDel="00000000" w:rsidP="00000000" w:rsidRDefault="00000000" w:rsidRPr="00000000" w14:paraId="000001AD">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statutory ambiguity or interpretive gap (e.g., undefined terms, conflicting provisions, unclear scope of an exception, or a term that has been defined for one statute but left undefined when imported into another).</w:t>
      </w:r>
    </w:p>
    <w:p w:rsidR="00000000" w:rsidDel="00000000" w:rsidP="00000000" w:rsidRDefault="00000000" w:rsidRPr="00000000" w14:paraId="000001AE">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doctrinal inconsistency across judgments, benches, or jurisdictions on the same point of law — including situations where a smaller bench appears to depart from a larger bench's ruling without expressly doing so, or where different High Courts reach divergent conclusions on an identical statutory provision.</w:t>
      </w:r>
    </w:p>
    <w:p w:rsidR="00000000" w:rsidDel="00000000" w:rsidP="00000000" w:rsidRDefault="00000000" w:rsidRPr="00000000" w14:paraId="000001AF">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mismatch between a legal rule and the factual or technological reality it was designed to govern — for instance, rules drafted around a particular technology, business model, or social practice that has since evolved substantially.</w:t>
      </w:r>
    </w:p>
    <w:p w:rsidR="00000000" w:rsidDel="00000000" w:rsidP="00000000" w:rsidRDefault="00000000" w:rsidRPr="00000000" w14:paraId="000001B0">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regulatory or enforcement gap — a rule exists on paper but is not implemented, monitored, or enforced, whether because of resource constraints, institutional design flaws, or an absence of effective sanctions.</w:t>
      </w:r>
    </w:p>
    <w:p w:rsidR="00000000" w:rsidDel="00000000" w:rsidP="00000000" w:rsidRDefault="00000000" w:rsidRPr="00000000" w14:paraId="000001B1">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normative tension between two competing legal values (e.g., privacy versus transparency, free speech versus dignity, federalism versus uniformity) that a particular rule or line of cases resolves in a way that can be examined and evaluated.</w:t>
      </w:r>
    </w:p>
    <w:p w:rsidR="00000000" w:rsidDel="00000000" w:rsidP="00000000" w:rsidRDefault="00000000" w:rsidRPr="00000000" w14:paraId="000001B2">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 unresolved question left open by a recent judgment, amendment, or policy instrument — courts and legislatures frequently decide the matter before them while expressly or impliedly leaving a related question open, and these 'open questions' are often signalled explicitly in the text of the judgment or statute itself.</w:t>
      </w:r>
    </w:p>
    <w:p w:rsidR="00000000" w:rsidDel="00000000" w:rsidP="00000000" w:rsidRDefault="00000000" w:rsidRPr="00000000" w14:paraId="000001B3">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transplant or borrowing problem — where a doctrine, test, or institutional design has been imported from another jurisdiction (often the United States, the United Kingdom, or the European Union) without full consideration of whether the conditions that made it workable there exist here.</w:t>
      </w:r>
    </w:p>
    <w:p w:rsidR="00000000" w:rsidDel="00000000" w:rsidP="00000000" w:rsidRDefault="00000000" w:rsidRPr="00000000" w14:paraId="000001B4">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definitional or classificatory problem — where the legal consequences attached to a category (e.g., 'employee' versus 'independent contractor,' 'goods' versus 'services,' 'public authority' versus 'private body') turn out to be poorly suited to a class of cases that the category was not originally designed to capture.</w:t>
      </w:r>
    </w:p>
    <w:p w:rsidR="00000000" w:rsidDel="00000000" w:rsidP="00000000" w:rsidRDefault="00000000" w:rsidRPr="00000000" w14:paraId="000001B5">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Testing Whether an Issue Is 'Focused'</w:t>
      </w:r>
    </w:p>
    <w:p w:rsidR="00000000" w:rsidDel="00000000" w:rsidP="00000000" w:rsidRDefault="00000000" w:rsidRPr="00000000" w14:paraId="000001B6">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Ask whether the issue can be stated as a single proposition that someone could plausibly disagree with. 'Environmental law needs reform' is not focused — almost no one would disagree, and it suggests no specific inquiry. 'The 'polluter pays' principle as applied under Indian environmental jurisprudence fails to account for cumulative, as opposed to point-source, pollution' is focused — it makes a contestable claim about a specific doctrine.</w:t>
      </w:r>
    </w:p>
    <w:p w:rsidR="00000000" w:rsidDel="00000000" w:rsidP="00000000" w:rsidRDefault="00000000" w:rsidRPr="00000000" w14:paraId="000001B7">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second test is what might be called the 'footnote test.' Take the proposed statement of the issue and ask: if I were to footnote this sentence, what would the footnote contain? If the answer is 'a citation to the relevant statutory provision, plus one or two leading cases, plus perhaps a paragraph from a law commission report,' the issue is likely focused enough to anchor a paper — there is a discrete, citable body of material that the issue picks out. If the answer is 'an entire textbook chapter, or several,' the issue is still operating at the level of a field rather than a point within it.</w:t>
      </w:r>
    </w:p>
    <w:p w:rsidR="00000000" w:rsidDel="00000000" w:rsidP="00000000" w:rsidRDefault="00000000" w:rsidRPr="00000000" w14:paraId="000001B8">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third test, useful once a candidate issue has been identified, is to ask whether the issue could be stated differently by someone arguing for the opposite conclusion, while still being recognisably the same issue. For example, the issue 'whether Section 124A IPC's sedition provision is compatible with Article 19(1)(a)' can be restated by a defender of the provision as 'whether the restrictions imposed by Section 124A fall within the 'reasonable restrictions' permitted by Article 19(2)' — the same issue, viewed from the other side. If a proposed issue cannot survive this kind of restatement — if stating it from the other side produces a completely different question — it may be that what looked like one issue is actually two.</w:t>
      </w:r>
    </w:p>
    <w:p w:rsidR="00000000" w:rsidDel="00000000" w:rsidP="00000000" w:rsidRDefault="00000000" w:rsidRPr="00000000" w14:paraId="000001B9">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From Issue to Research Question: The Missing Step</w:t>
      </w:r>
    </w:p>
    <w:p w:rsidR="00000000" w:rsidDel="00000000" w:rsidP="00000000" w:rsidRDefault="00000000" w:rsidRPr="00000000" w14:paraId="000001BA">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Identifying a focused issue is necessary but not sufficient; the issue must still be converted into a research question, and this conversion is where the narrowing dimensions of Section 4 do their work. The issue identifies what the tension or problem is; the research question additionally specifies the lens through which the paper will examine it — which jurisdiction's law, over what period, as applied by which institution, affecting which population, and analysed through which doctrinal framework. Two papers can be built around the same focused issue (say, the tension between the 'right to be forgotten' and freedom of expression) while asking entirely different research questions, depending on how that issue is narrowed. Section 4 develops this conversion process in detail.</w:t>
      </w:r>
    </w:p>
    <w:p w:rsidR="00000000" w:rsidDel="00000000" w:rsidP="00000000" w:rsidRDefault="00000000" w:rsidRPr="00000000" w14:paraId="000001BB">
      <w:pPr>
        <w:pStyle w:val="Heading1"/>
        <w:keepNext w:val="0"/>
        <w:keepLines w:val="0"/>
        <w:pBdr>
          <w:bottom w:color="8b1a1a" w:space="1" w:sz="6" w:val="single"/>
        </w:pBdr>
        <w:spacing w:after="160" w:before="3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Narrowing a Broad Theme: The Five Dimensions</w:t>
      </w:r>
    </w:p>
    <w:p w:rsidR="00000000" w:rsidDel="00000000" w:rsidP="00000000" w:rsidRDefault="00000000" w:rsidRPr="00000000" w14:paraId="000001BC">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Most broad themes can be converted into workable questions by narrowing along one or more of the following five dimensions: jurisdiction, time period, institution, population or affected group, and doctrine or legal concept. Authors are encouraged to narrow along at least two or three dimensions simultaneously, since narrowing along a single dimension is often still too broad — a question confined to 'Indian law' but otherwise unbounded in time, institution, population, and doctrine remains, in effect, a topic with a national flag attached to it.</w:t>
      </w:r>
    </w:p>
    <w:p w:rsidR="00000000" w:rsidDel="00000000" w:rsidP="00000000" w:rsidRDefault="00000000" w:rsidRPr="00000000" w14:paraId="000001BD">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 is useful to think of these five dimensions as coordinates that, together, locate a question in a multi-dimensional space. A broad theme occupies a large region of this space — it could, in principle, be approached from many combinations of jurisdiction, time, institution, population, and doctrine, and an author has not yet chosen among them. Each act of narrowing fixes one coordinate, shrinking the region of space the paper must cover. The worked example in Section 5 illustrates this process by fixing each coordinate in turn until a single point — a single, answerable question — remains.</w:t>
      </w:r>
    </w:p>
    <w:p w:rsidR="00000000" w:rsidDel="00000000" w:rsidP="00000000" w:rsidRDefault="00000000" w:rsidRPr="00000000" w14:paraId="000001BE">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five dimensions are presented here as a checklist, but they are not a rigid formula to be applied mechanically in a fixed order. In practice, authors often begin with whichever dimension is most naturally suggested by the source of their interest — a doctrine they encountered in a casebook, an institution they observed during an internship, a population whose situation motivated their interest in the first place — and then work outward to the other dimensions. What matters is not the order but the cumulative effect: by the time all relevant dimensions have been considered, the question should no longer admit of the response 'well, it depends which jurisdiction / which period / which court / whose perspective / which doctrine you mean' — because the question itself will have already specified the answer to each of those.</w:t>
      </w:r>
    </w:p>
    <w:p w:rsidR="00000000" w:rsidDel="00000000" w:rsidP="00000000" w:rsidRDefault="00000000" w:rsidRPr="00000000" w14:paraId="000001BF">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Jurisdiction</w:t>
      </w:r>
    </w:p>
    <w:p w:rsidR="00000000" w:rsidDel="00000000" w:rsidP="00000000" w:rsidRDefault="00000000" w:rsidRPr="00000000" w14:paraId="000001C0">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Specify the legal system, court, or regulatory authority whose law, practice, or precedent will be examined. This may be a single country, a comparison between two or three systems, or a sub-national unit (a particular state's amendments, a particular High Court's interpretive approach). Jurisdiction is often the first dimension authors fix, sometimes without fully realising they have done so — a paper written by an Indian author about 'algorithmic decision-making' will, by default, tend to draw on Indian sources and Indian constitutional doctrine, but unless this is made explicit in the question itself, the paper risks drifting into comparative territory without a comparative methodology, citing foreign cases as persuasive authority in a way that is neither fully doctrinal (a study of what Indian law is) nor fully comparative (a structured comparison of two systems).</w:t>
      </w:r>
    </w:p>
    <w:p w:rsidR="00000000" w:rsidDel="00000000" w:rsidP="00000000" w:rsidRDefault="00000000" w:rsidRPr="00000000" w14:paraId="000001C1">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Where a comparative dimension is genuinely intended — and comparative work can be extremely valuable, particularly where a foreign jurisdiction has already grappled with a problem that is newly emerging in India — the question should say so explicitly, and should specify which jurisdictions are being compared and, ideally, why those particular jurisdictions were chosen (shared colonial legal heritage, structural similarity of the relevant institutions, status as the source of a transplanted doctrine, and so on). A comparison that is not explained risks appearing arbitrary — 'why the UK and not Canada?' — and inviting exactly the kind of unfocused sprawl that narrowing is meant to prevent.</w:t>
      </w:r>
    </w:p>
    <w:p w:rsidR="00000000" w:rsidDel="00000000" w:rsidP="00000000" w:rsidRDefault="00000000" w:rsidRPr="00000000" w14:paraId="000001C2">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Sub-national narrowing deserves particular attention in a federal or quasi-federal system. Many areas of Indian law — land, agriculture, certain aspects of labour and public health, and several subjects on the Concurrent List — exhibit substantial state-to-state variation, whether through state amendments to central legislation, state-specific rules, or divergent High Court interpretations of identical central provisions. A question framed at the level of 'Indian law' on such a subject may, on closer inspection, have no single answer — the honest response would be 'it depends on the state.' In such cases, either the jurisdictional dimension should be narrowed to a particular state (or a small comparison set of states), or the question should be reframed to ask about the variation itself — for instance, asking why such variation exists, what it reveals about the relevant constitutional allocation of legislative competence, or what consequences it produces for litigants operating across state lines.</w:t>
      </w:r>
    </w:p>
    <w:p w:rsidR="00000000" w:rsidDel="00000000" w:rsidP="00000000" w:rsidRDefault="00000000" w:rsidRPr="00000000" w14:paraId="000001C3">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Too broad: How do courts treat algorithmic decision-making?</w:t>
      </w:r>
    </w:p>
    <w:p w:rsidR="00000000" w:rsidDel="00000000" w:rsidP="00000000" w:rsidRDefault="00000000" w:rsidRPr="00000000" w14:paraId="000001C4">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Narrowed: How have Indian constitutional courts applied the principles in Puttaswamy to challenges against algorithmic decision-making by public authorities?</w:t>
      </w:r>
    </w:p>
    <w:p w:rsidR="00000000" w:rsidDel="00000000" w:rsidP="00000000" w:rsidRDefault="00000000" w:rsidRPr="00000000" w14:paraId="000001C5">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Even this narrowed version could be narrowed further along the jurisdictional dimension — for instance, to a particular High Court whose docket has included a relevant line of cases, or to the Supreme Court specifically if the concern is with binding precedent rather than persuasive trends across multiple High Courts. The appropriate degree of jurisdictional narrowing depends on how much material exists at each level: if Supreme Court jurisprudence on the issue is sparse, a High-Court-level inquiry (potentially across several High Courts) may be the only way to assemble enough material to support an analysis; if Supreme Court jurisprudence is itself extensive and internally complex, it may be the more productive focus on its own.</w:t>
      </w:r>
    </w:p>
    <w:p w:rsidR="00000000" w:rsidDel="00000000" w:rsidP="00000000" w:rsidRDefault="00000000" w:rsidRPr="00000000" w14:paraId="000001C6">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Time Period</w:t>
      </w:r>
    </w:p>
    <w:p w:rsidR="00000000" w:rsidDel="00000000" w:rsidP="00000000" w:rsidRDefault="00000000" w:rsidRPr="00000000" w14:paraId="000001C7">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Bound the inquiry to a specific period — before and after a landmark judgment, a legislative amendment, a regulatory circular, or a defined number of years. Time-bounding is especially important for empirical and doctrinal-trend questions, where 'all time' makes data collection unmanageable, but it is also valuable for purely doctrinal questions, because legal doctrines are rarely static: a doctrine's content at one point in time may differ meaningfully from its content a decade later, even where the formal statutory text has not changed, simply because of how courts have glossed, extended, or quietly abandoned earlier interpretations.</w:t>
      </w:r>
    </w:p>
    <w:p w:rsidR="00000000" w:rsidDel="00000000" w:rsidP="00000000" w:rsidRDefault="00000000" w:rsidRPr="00000000" w14:paraId="000001C8">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Time periods in legal research are most useful when they are anchored to an event with independent significance — a judgment, an amendment, a change in regulatory leadership, the entry into force of a new instrument — rather than to round numbers chosen for convenience ('the last ten years,' 'since 2015'). An anchored period does two things simultaneously: it bounds the dataset (for empirical or trend-based questions), and it builds the rationale for the period directly into the question's framing, so that a reader immediately understands why that period and not another. A period defined as 'the last decade' invites the question 'why ten years rather than five or fifteen?'; a period defined as 'since the Supreme Court's judgment in [case]' answers that question by construction.</w:t>
      </w:r>
    </w:p>
    <w:p w:rsidR="00000000" w:rsidDel="00000000" w:rsidP="00000000" w:rsidRDefault="00000000" w:rsidRPr="00000000" w14:paraId="000001C9">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Authors should also consider whether the relevant time period should be defined with reference to when events occurred, when they were decided or published, or when they took legal effect — these can diverge, particularly for judgments (which may be reserved for months after argument), for legislation (which may have a delayed commencement date, or different commencement dates for different provisions), and for regulatory instruments (which may be issued in draft, subjected to consultation, and finalised much later, sometimes in materially different form). An ambiguous question on this point can produce a dataset the author did not intend to construct.</w:t>
      </w:r>
    </w:p>
    <w:p w:rsidR="00000000" w:rsidDel="00000000" w:rsidP="00000000" w:rsidRDefault="00000000" w:rsidRPr="00000000" w14:paraId="000001CA">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Too broad: How has the interpretation of 'public interest' evolved under the Right to Information Act?</w:t>
      </w:r>
    </w:p>
    <w:p w:rsidR="00000000" w:rsidDel="00000000" w:rsidP="00000000" w:rsidRDefault="00000000" w:rsidRPr="00000000" w14:paraId="000001CB">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Narrowed: How did the interpretation of 'public interest' exemptions under Section 8(1) of the RTI Act shift in Central Information Commission orders between 2015 and 2024, following the amendments introduced by the Aadhaar Act?</w:t>
      </w:r>
    </w:p>
    <w:p w:rsidR="00000000" w:rsidDel="00000000" w:rsidP="00000000" w:rsidRDefault="00000000" w:rsidRPr="00000000" w14:paraId="000001CC">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Notice that the narrowed version anchors its end-point to the present (allowing the most recent material to be included) and its start-point to a specific legal event (the Aadhaar Act amendments), so that the period is not arbitrary but is itself doing analytical work — the question is implicitly asking whether, and how, that specific amendment changed the trajectory of interpretation.</w:t>
      </w:r>
    </w:p>
    <w:p w:rsidR="00000000" w:rsidDel="00000000" w:rsidP="00000000" w:rsidRDefault="00000000" w:rsidRPr="00000000" w14:paraId="000001CD">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Institution</w:t>
      </w:r>
    </w:p>
    <w:p w:rsidR="00000000" w:rsidDel="00000000" w:rsidP="00000000" w:rsidRDefault="00000000" w:rsidRPr="00000000" w14:paraId="000001CE">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Identify the specific institution, body, court, tribunal, regulator, or type of forum whose decisions, processes, or behaviour form the object of study. Different institutions develop different interpretive cultures, and conflating them (e.g., 'courts' generally) often hides the most interesting variation. This is one of the most underused narrowing dimensions in student and early-career legal writing, perhaps because legal training tends to present 'the law' as a unified body of doctrine emanating from an undifferentiated judiciary, rather than as the output of specific institutions with their own compositions, caseloads, procedural cultures, and institutional incentives.</w:t>
      </w:r>
    </w:p>
    <w:p w:rsidR="00000000" w:rsidDel="00000000" w:rsidP="00000000" w:rsidRDefault="00000000" w:rsidRPr="00000000" w14:paraId="000001CF">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reality, institutional identity often explains variation that doctrinal analysis alone cannot. A constitutional court exercising original writ jurisdiction operates under different pressures, different benches, and different procedural constraints than the same court exercising appellate jurisdiction over a specialised tribunal's orders. A sectoral regulator interpreting a statutory term in the course of adjudicating a specific dispute may apply that term differently than the same regulator does when issuing general guidance or framing subordinate legislation. A tribunal staffed substantially by members with a particular professional background (accountants, former bureaucrats, technical experts) may bring interpretive habits to a legal question that differ systematically from a court staffed by career judges.</w:t>
      </w:r>
    </w:p>
    <w:p w:rsidR="00000000" w:rsidDel="00000000" w:rsidP="00000000" w:rsidRDefault="00000000" w:rsidRPr="00000000" w14:paraId="000001D0">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Framing a question around a specific institution also has a significant practical advantage: it usually defines a tractable and identifiable universe of source material — the reported (and, increasingly, unreported but digitally available) orders of that institution — which can be the basis for the source-availability check in Section 9 and, where appropriate, for the kind of systematic review described under empirical questions in Section 6.2.</w:t>
      </w:r>
    </w:p>
    <w:p w:rsidR="00000000" w:rsidDel="00000000" w:rsidP="00000000" w:rsidRDefault="00000000" w:rsidRPr="00000000" w14:paraId="000001D1">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Too broad: How do tribunals handle conflicts of interest?</w:t>
      </w:r>
    </w:p>
    <w:p w:rsidR="00000000" w:rsidDel="00000000" w:rsidP="00000000" w:rsidRDefault="00000000" w:rsidRPr="00000000" w14:paraId="000001D2">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Narrowed: Does the National Company Law Tribunal apply a stricter standard of 'independence' to resolution professionals than the Securities and Exchange Board of India applies to independent directors?</w:t>
      </w:r>
    </w:p>
    <w:p w:rsidR="00000000" w:rsidDel="00000000" w:rsidP="00000000" w:rsidRDefault="00000000" w:rsidRPr="00000000" w14:paraId="000001D3">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narrowed question has the additional feature of comparing two institutions on a shared underlying concept ('independence'), which is itself a productive narrowing strategy — it converts an open-ended inquiry into each institution's practice into a structured comparison with a built-in benchmark.</w:t>
      </w:r>
    </w:p>
    <w:p w:rsidR="00000000" w:rsidDel="00000000" w:rsidP="00000000" w:rsidRDefault="00000000" w:rsidRPr="00000000" w14:paraId="000001D4">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Population or Affected Group</w:t>
      </w:r>
    </w:p>
    <w:p w:rsidR="00000000" w:rsidDel="00000000" w:rsidP="00000000" w:rsidRDefault="00000000" w:rsidRPr="00000000" w14:paraId="000001D5">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Specify whose rights, interests, or conduct are at the centre of the inquiry — a category of litigants, a class of regulated entities, a demographic group, or a sector. This dimension is particularly important for questions with a social-justice, access-to-justice, or distributive dimension, but it is relevant well beyond that context: commercial law questions, for instance, often differ substantially depending on whether the relevant population is large listed companies, micro, small, and medium enterprises, or individual proprietors, even where the formal legal rule applies to all of them in the same words.</w:t>
      </w:r>
    </w:p>
    <w:p w:rsidR="00000000" w:rsidDel="00000000" w:rsidP="00000000" w:rsidRDefault="00000000" w:rsidRPr="00000000" w14:paraId="000001D6">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Framing a question around a specific population serves two distinct functions. First, it often surfaces the actual normative stakes of an otherwise technical-seeming legal question — a question about procedural timelines in bail applications becomes a question about whether a particular category of accused persons spends disproportionately long periods in pre-trial detention, which is a substantially more consequential framing even though the underlying legal provisions are identical. Second, where the population is genuinely distinct from the population the rule was designed around, framing the question this way can itself be the source of the paper's originality (see Section 10) — for instance, a doctrine developed primarily in disputes between sophisticated commercial parties may operate very differently when one party is an unrepresented individual, and a paper that examines this divergence may be making a genuinely new point even where the underlying doctrine itself is well studied.</w:t>
      </w:r>
    </w:p>
    <w:p w:rsidR="00000000" w:rsidDel="00000000" w:rsidP="00000000" w:rsidRDefault="00000000" w:rsidRPr="00000000" w14:paraId="000001D7">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Authors should be cautious, however, about population-based framings that the available sources cannot actually support — see the source-availability discussion in Section 9. A question framed around the experience of a particular population is only as strong as the evidence available about that population's actual experience; if courts do not record the relevant demographic information, and no secondary dataset exists, the question may need to be reframed around what the relevant institution's published output actually permits one to observe (for instance, the legal categories and provisions invoked, rather than the demographic characteristics of the persons to whom they were applied).</w:t>
      </w:r>
    </w:p>
    <w:p w:rsidR="00000000" w:rsidDel="00000000" w:rsidP="00000000" w:rsidRDefault="00000000" w:rsidRPr="00000000" w14:paraId="000001D8">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Too broad: Does bail law need reform?</w:t>
      </w:r>
    </w:p>
    <w:p w:rsidR="00000000" w:rsidDel="00000000" w:rsidP="00000000" w:rsidRDefault="00000000" w:rsidRPr="00000000" w14:paraId="000001D9">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Narrowed: Do undertrial prisoners charged under the Unlawful Activities (Prevention) Act experience systematically longer pre-charge detention than those charged under ordinary penal provisions, and if so, is this consistent with the bail principles laid down in recent Supreme Court rulings?</w:t>
      </w:r>
    </w:p>
    <w:p w:rsidR="00000000" w:rsidDel="00000000" w:rsidP="00000000" w:rsidRDefault="00000000" w:rsidRPr="00000000" w14:paraId="000001DA">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Doctrine or Legal Concept</w:t>
      </w:r>
    </w:p>
    <w:p w:rsidR="00000000" w:rsidDel="00000000" w:rsidP="00000000" w:rsidRDefault="00000000" w:rsidRPr="00000000" w14:paraId="000001DB">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Anchor the question to a specific doctrine, test, principle, or interpretive tool — proportionality, basic structure, piercing the corporate veil, the 'effects doctrine,' the precautionary principle — rather than an entire field of law. The doctrine itself often supplies the analytical framework the paper will apply, which is one of the most useful properties of this narrowing dimension: once a doctrine is fixed, the paper inherits that doctrine's own internal structure (its elements, its tests, its recognised exceptions) as a ready-made organisational scaffold, rather than having to invent one from scratch.</w:t>
      </w:r>
    </w:p>
    <w:p w:rsidR="00000000" w:rsidDel="00000000" w:rsidP="00000000" w:rsidRDefault="00000000" w:rsidRPr="00000000" w14:paraId="000001DC">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Doctrinal narrowing works particularly well in combination with the other four dimensions, because a doctrine developed in one context (jurisdiction, institution, time period, population) can be examined for how it has been — or has not been, or should be — extended, adapted, or resisted in another. The 'proportionality' standard developed in one line of constitutional cases can be examined for its application (or non-application) by a sectoral regulator; the 'piercing the corporate veil' doctrine developed in company law contexts can be examined for its (mis)application in tax or environmental contexts; a precautionary principle articulated in environmental jurisprudence can be examined for whether an analogous principle does or should operate in the regulation of emerging technologies.</w:t>
      </w:r>
    </w:p>
    <w:p w:rsidR="00000000" w:rsidDel="00000000" w:rsidP="00000000" w:rsidRDefault="00000000" w:rsidRPr="00000000" w14:paraId="000001DD">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caution worth noting: doctrinal narrowing can sometimes produce questions that are focused in form but still effectively descriptive in substance — 'what is the scope of the basic structure doctrine?' is doctrinally narrow but remains a survey question in the sense discussed in Section 2.3, because 'scope' invites a catalogue rather than an argument. The doctrinal dimension narrows the field of inquiry, but it must still be combined with the kind of analytical framing discussed in Section 12 — a comparator, a standard, a tension, or a specific application — to become a genuine research question rather than a narrowly-targeted survey.</w:t>
      </w:r>
    </w:p>
    <w:p w:rsidR="00000000" w:rsidDel="00000000" w:rsidP="00000000" w:rsidRDefault="00000000" w:rsidRPr="00000000" w14:paraId="000001DE">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Too broad: Is competition law in India effective?</w:t>
      </w:r>
    </w:p>
    <w:p w:rsidR="00000000" w:rsidDel="00000000" w:rsidP="00000000" w:rsidRDefault="00000000" w:rsidRPr="00000000" w14:paraId="000001DF">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Narrowed: Has the Competition Commission of India's application of the 'dominant position' test under Section 4 of the Competition Act kept pace with the multi-sided market structures of digital platforms?</w:t>
      </w:r>
    </w:p>
    <w:p w:rsidR="00000000" w:rsidDel="00000000" w:rsidP="00000000" w:rsidRDefault="00000000" w:rsidRPr="00000000" w14:paraId="000001E0">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Combining Dimensions: Order, Interaction, and Diminishing Returns</w:t>
      </w:r>
    </w:p>
    <w:p w:rsidR="00000000" w:rsidDel="00000000" w:rsidP="00000000" w:rsidRDefault="00000000" w:rsidRPr="00000000" w14:paraId="000001E1">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question that has been narrowed along all five dimensions is not automatically better than one narrowed along three — at some point, additional narrowing begins to produce questions that are so specific that no meaningful answer is possible, because the relevant body of material (a handful of cases, perhaps even a single case) is too small to support generalisation, and the question collapses into a case comment on that single decision. There is a useful distinction here between a research question and a case note: a case note examines a single decision in depth, which is a legitimate and valuable form of legal writing, but it is a different exercise from the kind of research question this guide addresses, which typically requires a body of material — multiple cases, a doctrinal line, a dataset, a comparative set — large enough to support a claim that extends beyond the facts of one dispute.</w:t>
      </w:r>
    </w:p>
    <w:p w:rsidR="00000000" w:rsidDel="00000000" w:rsidP="00000000" w:rsidRDefault="00000000" w:rsidRPr="00000000" w14:paraId="000001E2">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As a practical matter, authors should aim to fix enough dimensions that the question could not be meaningfully answered 'it depends' without further specification, but no more. If, after fixing jurisdiction, time period, and doctrine, the resulting question already has a determinate and bounded set of source material (a handful of statutory provisions, a tractable line of cases, a defined regulatory framework), further narrowing along the institution or population dimensions may not be necessary — though framing the question's significance in terms of a particular institution or population (in the introduction, rather than in the question itself) can still strengthen the paper's relevance, as discussed in Section 11.</w:t>
      </w:r>
    </w:p>
    <w:p w:rsidR="00000000" w:rsidDel="00000000" w:rsidP="00000000" w:rsidRDefault="00000000" w:rsidRPr="00000000" w14:paraId="000001E3">
      <w:pPr>
        <w:pStyle w:val="Heading1"/>
        <w:keepNext w:val="0"/>
        <w:keepLines w:val="0"/>
        <w:pBdr>
          <w:bottom w:color="8b1a1a" w:space="1" w:sz="6" w:val="single"/>
        </w:pBdr>
        <w:spacing w:after="160" w:before="3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Worked Example: From Theme to Question</w:t>
      </w:r>
    </w:p>
    <w:p w:rsidR="00000000" w:rsidDel="00000000" w:rsidP="00000000" w:rsidRDefault="00000000" w:rsidRPr="00000000" w14:paraId="000001E4">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table below illustrates a single broad theme being progressively narrowed through successive applications of the five dimensions above.</w:t>
      </w:r>
    </w:p>
    <w:tbl>
      <w:tblPr>
        <w:tblStyle w:val="Table1"/>
        <w:tblW w:w="936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08"/>
        <w:gridCol w:w="6552"/>
        <w:tblGridChange w:id="0">
          <w:tblGrid>
            <w:gridCol w:w="2808"/>
            <w:gridCol w:w="6552"/>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f2e6e6" w:val="clear"/>
            <w:tcMar>
              <w:top w:w="60.0" w:type="dxa"/>
              <w:left w:w="100.0" w:type="dxa"/>
              <w:bottom w:w="60.0" w:type="dxa"/>
              <w:right w:w="100.0" w:type="dxa"/>
            </w:tcMar>
          </w:tcPr>
          <w:p w:rsidR="00000000" w:rsidDel="00000000" w:rsidP="00000000" w:rsidRDefault="00000000" w:rsidRPr="00000000" w14:paraId="000001E5">
            <w:pPr>
              <w:spacing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Stage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6e6" w:val="clear"/>
            <w:tcMar>
              <w:top w:w="60.0" w:type="dxa"/>
              <w:left w:w="100.0" w:type="dxa"/>
              <w:bottom w:w="60.0" w:type="dxa"/>
              <w:right w:w="100.0" w:type="dxa"/>
            </w:tcMar>
          </w:tcPr>
          <w:p w:rsidR="00000000" w:rsidDel="00000000" w:rsidP="00000000" w:rsidRDefault="00000000" w:rsidRPr="00000000" w14:paraId="000001E6">
            <w:pPr>
              <w:spacing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Formulation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1E7">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Broad theme</w:t>
            </w:r>
          </w:p>
        </w:tc>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1E8">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Free speech and social media regulation in India</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1E9">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Add jurisdiction + institution</w:t>
            </w:r>
          </w:p>
        </w:tc>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1EA">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Free speech and the IT Rules, 2021, as interpreted by the Bombay and Kerala High Courts</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1EB">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Add time period</w:t>
            </w:r>
          </w:p>
        </w:tc>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1EC">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the period following the 2023 amendments establishing Grievance Appellate Committees</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1ED">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Add population</w:t>
            </w:r>
          </w:p>
        </w:tc>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1EE">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...with specific reference to journalists and independent media outlets</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1EF">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Add doctrine</w:t>
            </w:r>
          </w:p>
        </w:tc>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1F0">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...assessed against the 'chilling effect' standard articulated in Shreya Singhal v. Union of India</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1F1">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Resulting question</w:t>
            </w:r>
          </w:p>
        </w:tc>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1F2">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 the Grievance Appellate Committees established under the 2023 amendments to the IT Rules, 2021 produce a chilling effect on journalistic content that is inconsistent with the standard articulated in Shreya Singhal v. Union of India, as evidenced by Bombay and Kerala High Court rulings since 2023?</w:t>
            </w:r>
          </w:p>
        </w:tc>
      </w:tr>
    </w:tbl>
    <w:p w:rsidR="00000000" w:rsidDel="00000000" w:rsidP="00000000" w:rsidRDefault="00000000" w:rsidRPr="00000000" w14:paraId="000001F3">
      <w:pPr>
        <w:spacing w:after="12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F4">
      <w:pPr>
        <w:pStyle w:val="Heading1"/>
        <w:keepNext w:val="0"/>
        <w:keepLines w:val="0"/>
        <w:pBdr>
          <w:bottom w:color="8b1a1a" w:space="1" w:sz="6" w:val="single"/>
        </w:pBdr>
        <w:spacing w:after="160" w:before="3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Doctrinal Versus Empirical Questions</w:t>
      </w:r>
    </w:p>
    <w:p w:rsidR="00000000" w:rsidDel="00000000" w:rsidP="00000000" w:rsidRDefault="00000000" w:rsidRPr="00000000" w14:paraId="000001F5">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Authors should identify, at the outset, whether their research question is primarily doctrinal, primarily empirical, or a hybrid of both. This determines the methodology, the type of sources required, and the feasibility of the project within the time available. The distinction is sometimes presented as a binary, but it is better understood as describing the dominant mode of reasoning the paper will employ to move from evidence to conclusion — and being honest about which mode that is, early on, prevents a great deal of wasted effort.</w:t>
      </w:r>
    </w:p>
    <w:p w:rsidR="00000000" w:rsidDel="00000000" w:rsidP="00000000" w:rsidRDefault="00000000" w:rsidRPr="00000000" w14:paraId="000001F6">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Doctrinal Questions</w:t>
      </w:r>
    </w:p>
    <w:p w:rsidR="00000000" w:rsidDel="00000000" w:rsidP="00000000" w:rsidRDefault="00000000" w:rsidRPr="00000000" w14:paraId="000001F7">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doctrinal question asks what the law is, how it should be interpreted, or how it ought to be reformed, based on analysis of statutes, judgments, regulations, and secondary legal commentary. The answer takes the form of a legal argument or interpretive position. The characteristic intellectual move in doctrinal work is close reading: of statutory text against its legislative history and stated objects; of a judgment's ratio against its obiter, and against the ratios of other judgments addressing the same provision; of a regulation against the statute under which it was made, to test whether it remains within the bounds of the delegated authority.</w:t>
      </w:r>
    </w:p>
    <w:p w:rsidR="00000000" w:rsidDel="00000000" w:rsidP="00000000" w:rsidRDefault="00000000" w:rsidRPr="00000000" w14:paraId="000001F8">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Doctrinal questions can themselves be subdivided by the kind of claim they ultimately make. An interpretive doctrinal question asks what a given provision means, properly construed — its answer is a position on meaning, defended by reference to text, context, purpose, and precedent. A consistency doctrinal question asks whether two or more legal propositions can be reconciled — its answer identifies either a reconciling principle or an irreducible conflict. A normative doctrinal question asks whether a given rule, as authoritatively interpreted, is justified by reference to some external standard — constitutional values, principles of justice, economic efficiency, comparative best practice — and, if not, what alternative rule would better serve that standard. Authors should generally be able to say which of these three is the dominant character of their question, since each calls for a somewhat different structure of argument.</w:t>
      </w:r>
    </w:p>
    <w:p w:rsidR="00000000" w:rsidDel="00000000" w:rsidP="00000000" w:rsidRDefault="00000000" w:rsidRPr="00000000" w14:paraId="000001F9">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Example: Does the 'reasonable restriction' standard under Article 19(2) permit the kind of content-based restrictions imposed by the IT Rules, 2021?</w:t>
      </w:r>
    </w:p>
    <w:p w:rsidR="00000000" w:rsidDel="00000000" w:rsidP="00000000" w:rsidRDefault="00000000" w:rsidRPr="00000000" w14:paraId="000001FA">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example is principally an interpretive doctrinal question (what does 'reasonable restriction' permit?) with a normative dimension close to the surface (is this restriction justified?). A purely doctrinal treatment would focus on how courts have construed 'reasonable restriction' in analogous contexts and whether the IT Rules fit within that construction; a paper that wished to go further could also ask whether the construction itself is the right one — but that second move should be made deliberately, not by drift.</w:t>
      </w:r>
    </w:p>
    <w:p w:rsidR="00000000" w:rsidDel="00000000" w:rsidP="00000000" w:rsidRDefault="00000000" w:rsidRPr="00000000" w14:paraId="000001FB">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Empirical Questions</w:t>
      </w:r>
    </w:p>
    <w:p w:rsidR="00000000" w:rsidDel="00000000" w:rsidP="00000000" w:rsidRDefault="00000000" w:rsidRPr="00000000" w14:paraId="000001FC">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 empirical question asks what actually happens in practice — how a law is applied, how often a provision is invoked, how outcomes vary across courts or time, or how a legal change affected behaviour. The answer takes the form of a finding, supported by data (case counts, coding of judgments, surveys, interviews, or statistical analysis).</w:t>
      </w:r>
    </w:p>
    <w:p w:rsidR="00000000" w:rsidDel="00000000" w:rsidP="00000000" w:rsidRDefault="00000000" w:rsidRPr="00000000" w14:paraId="000001FD">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Empirical legal research in the Indian context most commonly takes one of a small number of recognisable forms, and it is useful for authors to identify which form their question implies, because each has different data requirements. A docket study examines a defined set of cases — filed before, or decided by, a particular court or tribunal over a particular period — and codes them for variables of interest (outcome, duration, category of party, provision invoked, and so on), in order to describe patterns that are not visible from reading individual judgments in isolation. A before-and-after study examines whether a legal change (a judgment, an amendment, a new regulatory framework) is associated with a change in some measurable outcome — filing rates, conviction rates, settlement rates, compliance rates — comparing the periods before and after the change. A survey or interview-based study gathers the perceptions, experiences, or practices of a defined group of people (litigants, lawyers, judges, regulators, regulated entities) who are not fully represented in the written record of decided cases. A content-analysis study systematically codes the text of a body of documents — judgments, contracts, regulatory filings, legislative debates — for the presence, frequency, or framing of particular features.</w:t>
      </w:r>
    </w:p>
    <w:p w:rsidR="00000000" w:rsidDel="00000000" w:rsidP="00000000" w:rsidRDefault="00000000" w:rsidRPr="00000000" w14:paraId="000001FE">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Example: What proportion of bail applications under the UAPA filed before the Delhi High Court between 2019 and 2024 were granted, and how does this compare to bail applications under ordinary penal provisions?</w:t>
      </w:r>
    </w:p>
    <w:p w:rsidR="00000000" w:rsidDel="00000000" w:rsidP="00000000" w:rsidRDefault="00000000" w:rsidRPr="00000000" w14:paraId="000001FF">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is a docket-study question. Before committing to it, an author should ask: is the relevant universe of bail applications identifiable and accessible (see Section 9)? Is 'granted' a category that can be reliably coded from the available orders, or does it require judgment calls (partial grants, conditional bail, bail granted on different grounds than argued) that need to be defined in advance? What is the comparison group, precisely — all other bail applications, or a matched set on some other criterion (similar offence severity, similar stage of proceedings)? These questions do not need to be fully answered at the framing stage, but the author should know that they will need to be answered before the empirical work can begin.</w:t>
      </w:r>
    </w:p>
    <w:p w:rsidR="00000000" w:rsidDel="00000000" w:rsidP="00000000" w:rsidRDefault="00000000" w:rsidRPr="00000000" w14:paraId="00000200">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Hybrid Questions</w:t>
      </w:r>
    </w:p>
    <w:p w:rsidR="00000000" w:rsidDel="00000000" w:rsidP="00000000" w:rsidRDefault="00000000" w:rsidRPr="00000000" w14:paraId="00000201">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Many strong papers combine both — for instance, establishing empirically how a doctrine is actually applied, and then making a doctrinal argument about whether that application is correct or desirable. Authors should be explicit about which component is primary, since this affects how much weight the empirical work must bear, and how the paper should be structured.</w:t>
      </w:r>
    </w:p>
    <w:p w:rsidR="00000000" w:rsidDel="00000000" w:rsidP="00000000" w:rsidRDefault="00000000" w:rsidRPr="00000000" w14:paraId="00000202">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useful way to think about hybrid questions is in terms of which component is load-bearing for the paper's central claim. In one common structure, the empirical component is diagnostic, and the doctrinal component is the destination: the paper first establishes, empirically, that a divergence exists between the law as formally stated and the law as applied, and then devotes its principal analytical effort to a doctrinal argument about which of the two — the formal rule or the observed practice — should give way, and why. In a second common structure, the relationship is reversed: the doctrinal component establishes what the law requires, or what standard a rule is meant to satisfy, and the empirical component then tests whether that requirement is actually being met in practice — here the doctrinal work is largely preliminary (establishing the benchmark), and the empirical work carries the paper's central finding.</w:t>
      </w:r>
    </w:p>
    <w:p w:rsidR="00000000" w:rsidDel="00000000" w:rsidP="00000000" w:rsidRDefault="00000000" w:rsidRPr="00000000" w14:paraId="00000203">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third, less common but valuable structure treats the empirical and doctrinal components as genuinely co-equal, each addressing a distinct sub-question (see Section 7) whose answers are then brought together in a concluding section that neither could have reached alone — for instance, an empirical finding about how frequently a particular argument succeeds before a tribunal, combined with a doctrinal analysis of why that argument is, or is not, legally sound, yielding a joint conclusion about whether the tribunal's practice should be regarded as an emerging (if not yet formally recognised) interpretive trend, or as a body of erroneous decisions that happen not to have been appealed.</w:t>
      </w:r>
    </w:p>
    <w:p w:rsidR="00000000" w:rsidDel="00000000" w:rsidP="00000000" w:rsidRDefault="00000000" w:rsidRPr="00000000" w14:paraId="00000204">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Whichever structure is chosen, authors attempting hybrid questions should be realistic about the time and skill demands of the empirical component specifically. Even a modest docket study — say, fifty to a hundred orders, hand-coded for a handful of variables — represents a substantial time investment relative to a purely doctrinal paper of similar length, and the coding process itself often requires decisions (how to categorise an ambiguous outcome, how to handle orders that address multiple issues) that benefit from being piloted on a small sample before being applied to the full set. The feasibility check in Section 8 is particularly important for hybrid and empirical questions for this reason.</w:t>
      </w:r>
    </w:p>
    <w:p w:rsidR="00000000" w:rsidDel="00000000" w:rsidP="00000000" w:rsidRDefault="00000000" w:rsidRPr="00000000" w14:paraId="00000205">
      <w:pPr>
        <w:pStyle w:val="Heading1"/>
        <w:keepNext w:val="0"/>
        <w:keepLines w:val="0"/>
        <w:pBdr>
          <w:bottom w:color="8b1a1a" w:space="1" w:sz="6" w:val="single"/>
        </w:pBdr>
        <w:spacing w:after="160" w:before="3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Structuring the Primary Question and Sub-Questions</w:t>
      </w:r>
    </w:p>
    <w:p w:rsidR="00000000" w:rsidDel="00000000" w:rsidP="00000000" w:rsidRDefault="00000000" w:rsidRPr="00000000" w14:paraId="00000206">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submission should be organised around one primary research question, supported by two to four sub-questions that break the inquiry into manageable analytical steps. Sub-questions should not simply restate the primary question in different words; each should address a distinct component necessary to answer the primary question. The relationship between a primary question and its sub-questions is best understood as one of logical decomposition: the sub-questions, taken together, should exhaust what needs to be established in order for the primary question to be answerable, and no sub-question should be answerable purely by reference to material already covered by another.</w:t>
      </w:r>
    </w:p>
    <w:p w:rsidR="00000000" w:rsidDel="00000000" w:rsidP="00000000" w:rsidRDefault="00000000" w:rsidRPr="00000000" w14:paraId="00000207">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decomposition serves a function that extends well beyond outlining. Once a primary question has been broken into sub-questions, each sub-question can be subjected to its own version of the checks described later in this guide — a sub-question that turns out to be unanswerable on available sources (Section 9), or that turns out to have already been comprehensively addressed by existing literature (Section 10), can be identified and addressed (by reframing, by narrowing further, or in some cases by removal) without requiring the primary question itself to be abandoned. Sub-questions therefore function as a kind of risk-distribution device: problems discovered during research are more easily isolated and fixed when the question has already been decomposed than when it has not.</w:t>
      </w:r>
    </w:p>
    <w:p w:rsidR="00000000" w:rsidDel="00000000" w:rsidP="00000000" w:rsidRDefault="00000000" w:rsidRPr="00000000" w14:paraId="00000208">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Characteristics of Good Sub-Questions</w:t>
      </w:r>
    </w:p>
    <w:p w:rsidR="00000000" w:rsidDel="00000000" w:rsidP="00000000" w:rsidRDefault="00000000" w:rsidRPr="00000000" w14:paraId="00000209">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Each sub-question maps onto a distinct part or chapter of the paper — a reader should be able to predict the paper's table of contents directly from its sub-questions, and conversely, a reader looking at the table of contents of a finished paper should be able to reconstruct what the sub-questions must have been.</w:t>
      </w:r>
    </w:p>
    <w:p w:rsidR="00000000" w:rsidDel="00000000" w:rsidP="00000000" w:rsidRDefault="00000000" w:rsidRPr="00000000" w14:paraId="0000020A">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Sub-questions are sequenced logically — typically moving from 'what is the current legal position' to 'what is the problem with it' to 'what should change.' This sequencing mirrors a common and effective structure for legal argument generally: establish the baseline, identify the deviation or deficiency, and propose or evaluate a response.</w:t>
      </w:r>
    </w:p>
    <w:p w:rsidR="00000000" w:rsidDel="00000000" w:rsidP="00000000" w:rsidRDefault="00000000" w:rsidRPr="00000000" w14:paraId="0000020B">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Answering all sub-questions together should be sufficient (and necessary) to answer the primary question — sufficiency means there is no remaining gap that the paper's conclusion would have to fill out of nowhere; necessity means no sub-question could be removed without leaving a gap.</w:t>
      </w:r>
    </w:p>
    <w:p w:rsidR="00000000" w:rsidDel="00000000" w:rsidP="00000000" w:rsidRDefault="00000000" w:rsidRPr="00000000" w14:paraId="0000020C">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Sub-questions should, where possible, be answerable using different categories of source material from one another — a purely doctrinal sub-question, a comparative sub-question, and an empirical sub-question, for instance — since this tends to produce a richer paper than four sub-questions that are all, in substance, asking 'what does case X say' for four different values of X.</w:t>
      </w:r>
    </w:p>
    <w:p w:rsidR="00000000" w:rsidDel="00000000" w:rsidP="00000000" w:rsidRDefault="00000000" w:rsidRPr="00000000" w14:paraId="0000020D">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number of sub-questions should be calibrated to the length of the submission. For a shorter note or comment, two sub-questions — often corresponding to 'what is the current position' and 'what follows from this' — may be appropriate; a longer article can typically sustain three or four without any individual sub-question being treated too thinly.</w:t>
      </w:r>
    </w:p>
    <w:p w:rsidR="00000000" w:rsidDel="00000000" w:rsidP="00000000" w:rsidRDefault="00000000" w:rsidRPr="00000000" w14:paraId="0000020E">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Illustration</w:t>
      </w:r>
    </w:p>
    <w:p w:rsidR="00000000" w:rsidDel="00000000" w:rsidP="00000000" w:rsidRDefault="00000000" w:rsidRPr="00000000" w14:paraId="0000020F">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Primary question: Does the Insolvency and Bankruptcy Code's treatment of personal guarantors undermine the Code's stated objective of giving honest debtors a 'fresh start'?</w:t>
      </w:r>
    </w:p>
    <w:p w:rsidR="00000000" w:rsidDel="00000000" w:rsidP="00000000" w:rsidRDefault="00000000" w:rsidRPr="00000000" w14:paraId="00000210">
      <w:pPr>
        <w:numPr>
          <w:ilvl w:val="0"/>
          <w:numId w:val="6"/>
        </w:numPr>
        <w:spacing w:after="60" w:line="276" w:lineRule="auto"/>
        <w:ind w:left="480" w:hanging="32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Sub-question 1 (doctrinal): What is the current legal framework governing the insolvency of personal guarantors under the IBC and the applicable rules?</w:t>
      </w:r>
    </w:p>
    <w:p w:rsidR="00000000" w:rsidDel="00000000" w:rsidP="00000000" w:rsidRDefault="00000000" w:rsidRPr="00000000" w14:paraId="00000211">
      <w:pPr>
        <w:numPr>
          <w:ilvl w:val="0"/>
          <w:numId w:val="6"/>
        </w:numPr>
        <w:spacing w:after="60" w:line="276" w:lineRule="auto"/>
        <w:ind w:left="480" w:hanging="32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Sub-question 2 (doctrinal/comparative): How does this framework compare with the treatment of personal guarantors under comparable insolvency regimes, such as the UK or Singapore?</w:t>
      </w:r>
    </w:p>
    <w:p w:rsidR="00000000" w:rsidDel="00000000" w:rsidP="00000000" w:rsidRDefault="00000000" w:rsidRPr="00000000" w14:paraId="00000212">
      <w:pPr>
        <w:numPr>
          <w:ilvl w:val="0"/>
          <w:numId w:val="6"/>
        </w:numPr>
        <w:spacing w:after="60" w:line="276" w:lineRule="auto"/>
        <w:ind w:left="480" w:hanging="32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Sub-question 3 (empirical): How have the National Company Law Tribunals applied this framework in practice since the 2019 notification extending the Code to personal guarantors?</w:t>
      </w:r>
    </w:p>
    <w:p w:rsidR="00000000" w:rsidDel="00000000" w:rsidP="00000000" w:rsidRDefault="00000000" w:rsidRPr="00000000" w14:paraId="00000213">
      <w:pPr>
        <w:numPr>
          <w:ilvl w:val="0"/>
          <w:numId w:val="6"/>
        </w:numPr>
        <w:spacing w:after="60" w:line="276" w:lineRule="auto"/>
        <w:ind w:left="480" w:hanging="32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Sub-question 4 (normative): Does this practical application align with, or undermine, the 'fresh start' rationale articulated in the Code's objects and the Insolvency Law Committee's reports?</w:t>
      </w:r>
    </w:p>
    <w:p w:rsidR="00000000" w:rsidDel="00000000" w:rsidP="00000000" w:rsidRDefault="00000000" w:rsidRPr="00000000" w14:paraId="00000214">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Observe how this decomposition satisfies the criteria above. Sub-question 1 establishes the baseline (the formal legal position) using doctrinal sources. Sub-question 2 places that baseline in comparative perspective, which both tests whether the Indian position is an outlier and supplies a benchmark against which 'undermining' the fresh-start objective can later be assessed. Sub-question 3 shifts to an empirical register, asking not what the rules say but what tribunals actually do with them — and may well reveal a gap between sub-question 1's answer and practice on the ground. Sub-question 4 then draws sub-questions 1 through 3 together against the normative standard (the 'fresh start' rationale) that the primary question invokes, and it is only at this final step that the primary question can actually be answered. No sub-question duplicates another, and removing any one of them would leave a visible gap: without sub-question 2, there would be no benchmark for what an 'aligned' framework would look like; without sub-question 3, the analysis would rest on the assumption that practice tracks the formal rules, which is precisely the kind of assumption empirical legal research often shows to be unsafe.</w:t>
      </w:r>
    </w:p>
    <w:p w:rsidR="00000000" w:rsidDel="00000000" w:rsidP="00000000" w:rsidRDefault="00000000" w:rsidRPr="00000000" w14:paraId="00000215">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Common Decomposition Patterns</w:t>
      </w:r>
    </w:p>
    <w:p w:rsidR="00000000" w:rsidDel="00000000" w:rsidP="00000000" w:rsidRDefault="00000000" w:rsidRPr="00000000" w14:paraId="00000216">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While every primary question generates its own sub-questions, a number of decomposition patterns recur often enough to be worth naming, both as starting points and as checks against patterns to avoid.</w:t>
      </w:r>
    </w:p>
    <w:p w:rsidR="00000000" w:rsidDel="00000000" w:rsidP="00000000" w:rsidRDefault="00000000" w:rsidRPr="00000000" w14:paraId="00000217">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funnel pattern: each sub-question progressively narrows the inquiry — sub-question 1 establishes the general legal framework, sub-question 2 narrows to the specific provision or doctrine at issue, sub-question 3 narrows further to its application in the precise context the primary question is concerned with. This pattern works well for interpretive doctrinal questions.</w:t>
      </w:r>
    </w:p>
    <w:p w:rsidR="00000000" w:rsidDel="00000000" w:rsidP="00000000" w:rsidRDefault="00000000" w:rsidRPr="00000000" w14:paraId="00000218">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benchmark pattern: one sub-question establishes 'what the standard is' (drawn from constitutional principle, comparative law, or an authoritative policy document), a second establishes 'what is actually happening,' and a third assesses the gap between them. This pattern is common in hybrid doctrinal-empirical questions, as illustrated above.</w:t>
      </w:r>
    </w:p>
    <w:p w:rsidR="00000000" w:rsidDel="00000000" w:rsidP="00000000" w:rsidRDefault="00000000" w:rsidRPr="00000000" w14:paraId="00000219">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genealogy pattern: sub-questions trace a doctrine or provision through successive stages of its development — origin, key extensions or modifications, current state — culminating in an assessment of where it stands now and where it may be heading. This pattern works well for doctrinal-trend questions but carries a risk: it can collapse into a purely chronological description (a 'history of the doctrine') unless each stage is explicitly tied back to the primary question's evaluative standard.</w:t>
      </w:r>
    </w:p>
    <w:p w:rsidR="00000000" w:rsidDel="00000000" w:rsidP="00000000" w:rsidRDefault="00000000" w:rsidRPr="00000000" w14:paraId="0000021A">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pattern to avoid: the 'parallel silos' pattern, in which each sub-question addresses a different sub-topic within the broad area with no logical dependency between them — for instance, one sub-question on a statute's definitions, a second on its penalty provisions, and a third on its enforcement mechanism, with no sub-question that brings these together. This pattern often signals that the underlying primary question is still, in substance, a topic (see Section 2), with the sub-questions doing the work of subdividing the topic rather than decomposing a genuine question.</w:t>
      </w:r>
    </w:p>
    <w:p w:rsidR="00000000" w:rsidDel="00000000" w:rsidP="00000000" w:rsidRDefault="00000000" w:rsidRPr="00000000" w14:paraId="0000021B">
      <w:pPr>
        <w:pStyle w:val="Heading1"/>
        <w:keepNext w:val="0"/>
        <w:keepLines w:val="0"/>
        <w:pBdr>
          <w:bottom w:color="8b1a1a" w:space="1" w:sz="6" w:val="single"/>
        </w:pBdr>
        <w:spacing w:after="160" w:before="3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Feasibility Check</w:t>
      </w:r>
    </w:p>
    <w:p w:rsidR="00000000" w:rsidDel="00000000" w:rsidP="00000000" w:rsidRDefault="00000000" w:rsidRPr="00000000" w14:paraId="0000021C">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Before committing to a research question, authors should run the following feasibility checks. A question that fails more than one of these checks should be revised before submission of the proposal. Feasibility is not a secondary, administrative concern to be addressed after the 'real' intellectual work of framing a question; an infeasible question is, for practical purposes, not a workable question at all, regardless of how analytically interesting it might be in the abstract. A significant proportion of papers that are abandoned partway through, or that arrive at submission stage with a thin and rushed final section, can be traced back to a feasibility problem that was visible — but not addressed — at the framing stage.</w:t>
      </w:r>
    </w:p>
    <w:tbl>
      <w:tblPr>
        <w:tblStyle w:val="Table2"/>
        <w:tblW w:w="936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08"/>
        <w:gridCol w:w="6552"/>
        <w:tblGridChange w:id="0">
          <w:tblGrid>
            <w:gridCol w:w="2808"/>
            <w:gridCol w:w="6552"/>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f2e6e6" w:val="clear"/>
            <w:tcMar>
              <w:top w:w="60.0" w:type="dxa"/>
              <w:left w:w="100.0" w:type="dxa"/>
              <w:bottom w:w="60.0" w:type="dxa"/>
              <w:right w:w="100.0" w:type="dxa"/>
            </w:tcMar>
          </w:tcPr>
          <w:p w:rsidR="00000000" w:rsidDel="00000000" w:rsidP="00000000" w:rsidRDefault="00000000" w:rsidRPr="00000000" w14:paraId="0000021D">
            <w:pPr>
              <w:spacing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Check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6e6" w:val="clear"/>
            <w:tcMar>
              <w:top w:w="60.0" w:type="dxa"/>
              <w:left w:w="100.0" w:type="dxa"/>
              <w:bottom w:w="60.0" w:type="dxa"/>
              <w:right w:w="100.0" w:type="dxa"/>
            </w:tcMar>
          </w:tcPr>
          <w:p w:rsidR="00000000" w:rsidDel="00000000" w:rsidP="00000000" w:rsidRDefault="00000000" w:rsidRPr="00000000" w14:paraId="0000021E">
            <w:pPr>
              <w:spacing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Guiding prompt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21F">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Scope-to-length fit</w:t>
            </w:r>
          </w:p>
        </w:tc>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220">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Can the question be answered, with adequate depth, within the word limit specified for the submission (typically 6,000–12,000 words for articles, 3,000–5,000 for notes/comments)? A useful exercise is to allocate the word limit notionally across the sub-questions identified in Section 7, and ask whether the resulting per-sub-question allocation is enough to do more than gesture at an answer. If a sub-question that the author considers central would, on this allocation, receive only a few hundred words, either the number of sub-questions should be reduced, or the overall question narrowed further so that each remaining sub-question can be treated with appropriate depth.</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221">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Time-to-completion fit</w:t>
            </w:r>
          </w:p>
        </w:tc>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222">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Can the necessary research — including primary source review and, if applicable, data collection — realistically be completed within the submission timeline? Authors should distinguish between reading time (locating and absorbing the relevant primary and secondary sources) and analysis time (the often slower process of working out what those sources actually establish, where they conflict, and how they bear on the question). Empirical components in particular tend to take longer than initially estimated, both because coding decisions often need to be revisited once the full range of cases in the dataset becomes apparent, and because cleaning and verifying a dataset is rarely as quick as gathering the raw material.</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223">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Access to expertise</w:t>
            </w:r>
          </w:p>
        </w:tc>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224">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If the question requires specialised technical, statistical, or comparative knowledge, does the author have access to that expertise or the ability to acquire it? A question that turns on the interpretation of a technical regulatory standard (in fields such as financial regulation, environmental science, or data protection technology) may require the author either to acquire a working understanding of the underlying technical concepts, or to frame the question in a way that brackets the technical detail and focuses on the legal treatment of it. A comparative question involving a jurisdiction whose primary sources are not available in a language the author reads fluently presents a similar challenge, and should be addressed explicitly — either by confirming that adequate translated or English-language secondary material exists, or by narrowing the comparative scope to jurisdictions for which it does.</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225">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Stability of the subject matter</w:t>
            </w:r>
          </w:p>
        </w:tc>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226">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Is the legal position likely to change (e.g., a pending appeal, a bill before the legislature) in a way that could moot the question before publication? If so, can the question be framed to remain relevant regardless of outcome? One way to future-proof a question against an impending change is to frame it explicitly around the period leading up to, and the considerations bearing on, the anticipated change — for instance, 'what arguments were available to the Court in deciding X, and which of them does the eventual judgment appear to have accepted or rejected' — so that the paper retains its analytical value as a record of the state of the law at a defined moment, and as an assessment of the eventual outcome against the arguments that preceded it, rather than becoming an outdated prediction.</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227">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Answerability</w:t>
            </w:r>
          </w:p>
        </w:tc>
        <w:tc>
          <w:tcPr>
            <w:tcBorders>
              <w:top w:color="cccccc" w:space="0" w:sz="4" w:val="single"/>
              <w:left w:color="cccccc" w:space="0" w:sz="4" w:val="single"/>
              <w:bottom w:color="cccccc" w:space="0" w:sz="4" w:val="single"/>
              <w:right w:color="cccccc" w:space="0" w:sz="4" w:val="single"/>
            </w:tcBorders>
            <w:tcMar>
              <w:top w:w="60.0" w:type="dxa"/>
              <w:left w:w="100.0" w:type="dxa"/>
              <w:bottom w:w="60.0" w:type="dxa"/>
              <w:right w:w="100.0" w:type="dxa"/>
            </w:tcMar>
          </w:tcPr>
          <w:p w:rsidR="00000000" w:rsidDel="00000000" w:rsidP="00000000" w:rsidRDefault="00000000" w:rsidRPr="00000000" w14:paraId="00000228">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Is it realistically possible to reach a reasoned, defensible answer — even a provisional or conditional one — by the end of the paper? Some questions, on close inspection, turn out to be unanswerable not because the relevant material is unavailable, but because the question itself presupposes a standard of measurement that does not exist — for instance, a question asking whether a law is 'effective' presupposes some agreed metric of effectiveness, and if no such metric exists (and the paper does not propose one), the question cannot be answered, only gestured at. Where this is the case, the fix is often to make the construction of the metric itself part of the paper's contribution — converting an unanswerable 'is it effective' question into an answerable 'what would effectiveness mean here, and on that understanding, how does the law perform' question.</w:t>
            </w:r>
          </w:p>
        </w:tc>
      </w:tr>
    </w:tbl>
    <w:p w:rsidR="00000000" w:rsidDel="00000000" w:rsidP="00000000" w:rsidRDefault="00000000" w:rsidRPr="00000000" w14:paraId="00000229">
      <w:pPr>
        <w:spacing w:after="12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2A">
      <w:pPr>
        <w:pStyle w:val="Heading2"/>
        <w:keepNext w:val="0"/>
        <w:keepLines w:val="0"/>
        <w:spacing w:after="100" w:before="220" w:line="276" w:lineRule="auto"/>
        <w:jc w:val="both"/>
        <w:rPr>
          <w:rFonts w:ascii="Georgia" w:cs="Georgia" w:eastAsia="Georgia" w:hAnsi="Georgia"/>
          <w:b w:val="1"/>
          <w:bCs w:val="1"/>
          <w:color w:val="333333"/>
          <w:sz w:val="24"/>
          <w:szCs w:val="24"/>
        </w:rPr>
      </w:pPr>
      <w:r w:rsidDel="00000000" w:rsidR="00000000" w:rsidRPr="00000000">
        <w:rPr>
          <w:rFonts w:ascii="Georgia" w:cs="Georgia" w:eastAsia="Georgia" w:hAnsi="Georgia"/>
          <w:b w:val="1"/>
          <w:bCs w:val="1"/>
          <w:color w:val="333333"/>
          <w:sz w:val="24"/>
          <w:szCs w:val="24"/>
          <w:rtl w:val="0"/>
        </w:rPr>
        <w:t xml:space="preserve">The Pilot Test</w:t>
      </w:r>
    </w:p>
    <w:p w:rsidR="00000000" w:rsidDel="00000000" w:rsidP="00000000" w:rsidRDefault="00000000" w:rsidRPr="00000000" w14:paraId="0000022B">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 questions with any empirical component, and for doctrinal questions that depend on a body of case law whose extent is not yet known, a brief pilot exercise — before committing fully to the question — is one of the most effective feasibility checks available. A pilot exercise might involve running the proposed search terms on the relevant case-law database and reviewing the first twenty or thirty results to get a sense of their volume, relevance, and the kind of variation they display; or hand-coding a handful of cases against the variables the author intends to use for a fuller dataset, to identify whether those variables can actually be applied consistently. A pilot exercise of this kind typically takes a small fraction of the time that would be lost if a feasibility problem were discovered only after substantial work had already been invested in a particular framing.</w:t>
      </w:r>
    </w:p>
    <w:p w:rsidR="00000000" w:rsidDel="00000000" w:rsidP="00000000" w:rsidRDefault="00000000" w:rsidRPr="00000000" w14:paraId="0000022C">
      <w:pPr>
        <w:pStyle w:val="Heading1"/>
        <w:keepNext w:val="0"/>
        <w:keepLines w:val="0"/>
        <w:pBdr>
          <w:bottom w:color="8b1a1a" w:space="1" w:sz="6" w:val="single"/>
        </w:pBdr>
        <w:spacing w:after="160" w:before="3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Source Availability Check</w:t>
      </w:r>
    </w:p>
    <w:p w:rsidR="00000000" w:rsidDel="00000000" w:rsidP="00000000" w:rsidRDefault="00000000" w:rsidRPr="00000000" w14:paraId="0000022D">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research question is only workable if the sources needed to answer it actually exist and are accessible. Before finalising a question, authors should map the sources it will require and confirm their availability. This mapping exercise is best done concretely — not by asking in the abstract 'is there material on this topic' (the answer to which is almost always yes, for any topic), but by listing, sub-question by sub-question, the specific category of source that sub-question depends on, and then making a genuine attempt to locate an example of that source before proceeding further.</w:t>
      </w:r>
    </w:p>
    <w:p w:rsidR="00000000" w:rsidDel="00000000" w:rsidP="00000000" w:rsidRDefault="00000000" w:rsidRPr="00000000" w14:paraId="0000022E">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Categories of Sources to Map</w:t>
      </w:r>
    </w:p>
    <w:p w:rsidR="00000000" w:rsidDel="00000000" w:rsidP="00000000" w:rsidRDefault="00000000" w:rsidRPr="00000000" w14:paraId="0000022F">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Primary legal sources: the relevant statute(s), rules, regulations, and notifications, including amendment history. Authors should confirm not just that the current text of a provision is available, but that the historical versions relevant to the time period fixed in Section 4.2 can also be reconstructed — this can be surprisingly difficult for provisions that have been amended multiple times, where official consolidated versions may not exist and the author may need to assemble the applicable text for a given period from the amending instruments themselves.</w:t>
      </w:r>
    </w:p>
    <w:p w:rsidR="00000000" w:rsidDel="00000000" w:rsidP="00000000" w:rsidRDefault="00000000" w:rsidRPr="00000000" w14:paraId="00000230">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Case law: identify whether the relevant judgments are reported, available on free databases (e.g., court websites, Indian Kanoon) or require subscription database access. For empirical or docket-study questions, authors should additionally confirm whether the database in question supports the kind of bulk search or filtering the study will require — a database that allows search by case name but not by date range, bench composition, or outcome may not support the analysis the question contemplates, even if individual judgments are technically 'available.'</w:t>
      </w:r>
    </w:p>
    <w:p w:rsidR="00000000" w:rsidDel="00000000" w:rsidP="00000000" w:rsidRDefault="00000000" w:rsidRPr="00000000" w14:paraId="00000231">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Legislative materials: parliamentary debates, standing committee reports, law commission reports, and statements of objects and reasons, where the question turns on legislative intent. The availability of these materials varies considerably — some standing committee reports and law commission reports are readily available online, while certain parliamentary debate records, particularly for older legislation or for state legislatures, may require accessing physical archives or specialised repositories.</w:t>
      </w:r>
    </w:p>
    <w:p w:rsidR="00000000" w:rsidDel="00000000" w:rsidP="00000000" w:rsidRDefault="00000000" w:rsidRPr="00000000" w14:paraId="00000232">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Comparative materials: foreign statutes and judgments, where the question involves comparison — and whether these are available in English or require translation. Even for English-speaking jurisdictions, authors should confirm whether the relevant secondary commentary (which is often essential for understanding how a foreign provision is actually applied, as opposed to how it reads on paper) is accessible, since university or institutional subscriptions to foreign law databases vary widely.</w:t>
      </w:r>
    </w:p>
    <w:p w:rsidR="00000000" w:rsidDel="00000000" w:rsidP="00000000" w:rsidRDefault="00000000" w:rsidRPr="00000000" w14:paraId="00000233">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Empirical data: court records, RTI responses, government data portals, or datasets compiled by other researchers — and whether access requires formal applications with lead times. Where a question depends on data that must be requested under right-to-information legislation, authors should factor in not only the statutory response period but the realistic possibility of an incomplete, delayed, or refused response, and should have a contingency plan (an alternative source, a narrower question, or a reframing around the response itself as a finding) in case the requested data does not materialise.</w:t>
      </w:r>
    </w:p>
    <w:p w:rsidR="00000000" w:rsidDel="00000000" w:rsidP="00000000" w:rsidRDefault="00000000" w:rsidRPr="00000000" w14:paraId="00000234">
      <w:pPr>
        <w:pStyle w:val="Heading2"/>
        <w:keepNext w:val="0"/>
        <w:keepLines w:val="0"/>
        <w:spacing w:after="100" w:before="2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Red Flags</w:t>
      </w:r>
    </w:p>
    <w:p w:rsidR="00000000" w:rsidDel="00000000" w:rsidP="00000000" w:rsidRDefault="00000000" w:rsidRPr="00000000" w14:paraId="00000235">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If answering the question depends on data that is not publicly available, that would require an RTI application with an uncertain response time, or that exists only in a form requiring extensive manual coding beyond the scope of the project, the question should be narrowed, reframed around available proxies, or reconsidered.</w:t>
      </w:r>
    </w:p>
    <w:p w:rsidR="00000000" w:rsidDel="00000000" w:rsidP="00000000" w:rsidRDefault="00000000" w:rsidRPr="00000000" w14:paraId="00000236">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further red flag, somewhat less obvious than outright unavailability, is source asymmetry: a question that requires comparing two bodies of material that are documented to very different degrees — for instance, a comparison between a well-reported superior court's jurisprudence and a lower forum whose orders are not systematically published. In such cases, the resulting paper risks producing a conclusion that reflects differences in documentation rather than differences in substance — appearing to find that one institution 'lacks' a developed jurisprudence on some point, when in fact the relevant orders exist but are simply not accessible to the author. Where source asymmetry of this kind is unavoidable, it should be acknowledged explicitly, and the question framed so that the asymmetry itself does not silently become part of the answer.</w:t>
      </w:r>
    </w:p>
    <w:p w:rsidR="00000000" w:rsidDel="00000000" w:rsidP="00000000" w:rsidRDefault="00000000" w:rsidRPr="00000000" w14:paraId="00000237">
      <w:pPr>
        <w:pStyle w:val="Heading1"/>
        <w:keepNext w:val="0"/>
        <w:keepLines w:val="0"/>
        <w:pBdr>
          <w:bottom w:color="8b1a1a" w:space="1" w:sz="6" w:val="single"/>
        </w:pBdr>
        <w:spacing w:after="160" w:before="3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Originality Check</w:t>
      </w:r>
    </w:p>
    <w:p w:rsidR="00000000" w:rsidDel="00000000" w:rsidP="00000000" w:rsidRDefault="00000000" w:rsidRPr="00000000" w14:paraId="00000238">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Originality does not require an entirely untouched area of law. A question can be original because of its specific framing, its timing, its comparative angle, its use of new data, or its application of an existing doctrine to a new factual or technological context. Indeed, for most questions that are sufficiently narrow to be feasible (Section 8), the relevant inquiry is almost never 'has anyone ever written about this general subject before' — the answer to that question, for any subject of genuine importance, is almost certainly yes — but rather 'has anyone answered this specific question, framed in this specific way, using this specific body of material, at this specific point in time.'</w:t>
      </w:r>
    </w:p>
    <w:p w:rsidR="00000000" w:rsidDel="00000000" w:rsidP="00000000" w:rsidRDefault="00000000" w:rsidRPr="00000000" w14:paraId="00000239">
      <w:pPr>
        <w:pStyle w:val="Heading2"/>
        <w:keepNext w:val="0"/>
        <w:keepLines w:val="0"/>
        <w:spacing w:after="100" w:before="220" w:line="276" w:lineRule="auto"/>
        <w:jc w:val="both"/>
        <w:rPr>
          <w:rFonts w:ascii="Georgia" w:cs="Georgia" w:eastAsia="Georgia" w:hAnsi="Georgia"/>
          <w:b w:val="1"/>
          <w:bCs w:val="1"/>
          <w:color w:val="333333"/>
          <w:sz w:val="24"/>
          <w:szCs w:val="24"/>
        </w:rPr>
      </w:pPr>
      <w:r w:rsidDel="00000000" w:rsidR="00000000" w:rsidRPr="00000000">
        <w:rPr>
          <w:rFonts w:ascii="Georgia" w:cs="Georgia" w:eastAsia="Georgia" w:hAnsi="Georgia"/>
          <w:b w:val="1"/>
          <w:bCs w:val="1"/>
          <w:color w:val="333333"/>
          <w:sz w:val="24"/>
          <w:szCs w:val="24"/>
          <w:rtl w:val="0"/>
        </w:rPr>
        <w:t xml:space="preserve">10.1 Steps for an Originality Check</w:t>
      </w:r>
    </w:p>
    <w:p w:rsidR="00000000" w:rsidDel="00000000" w:rsidP="00000000" w:rsidRDefault="00000000" w:rsidRPr="00000000" w14:paraId="0000023A">
      <w:pPr>
        <w:numPr>
          <w:ilvl w:val="0"/>
          <w:numId w:val="6"/>
        </w:numPr>
        <w:spacing w:after="60" w:line="276" w:lineRule="auto"/>
        <w:ind w:left="480" w:hanging="32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Conduct a literature search using the key terms of the proposed question across journal databases (SCC Online, Manupatra, HeinOnline, SSRN, Google Scholar). The search should use the specific terms generated by the narrowing exercise in Section 4 — the named doctrine, the named institution, the named time period — rather than only the broad subject-matter terms, since a search confined to broad terms will return an unmanageable volume of results that mostly bear on the topic rather than the question.</w:t>
      </w:r>
    </w:p>
    <w:p w:rsidR="00000000" w:rsidDel="00000000" w:rsidP="00000000" w:rsidRDefault="00000000" w:rsidRPr="00000000" w14:paraId="0000023B">
      <w:pPr>
        <w:numPr>
          <w:ilvl w:val="0"/>
          <w:numId w:val="6"/>
        </w:numPr>
        <w:spacing w:after="60" w:line="276" w:lineRule="auto"/>
        <w:ind w:left="480" w:hanging="32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Identify the two or three closest existing pieces of scholarship and articulate, in one or two sentences, precisely what the proposed paper will do that they do not. This step should be done honestly and specifically — vague distinctions ('this paper takes a different approach,' 'this paper provides a more comprehensive analysis') are themselves a warning sign, and usually indicate that the closest piece of existing scholarship has not actually been read closely enough to identify a genuine point of departure.</w:t>
      </w:r>
    </w:p>
    <w:p w:rsidR="00000000" w:rsidDel="00000000" w:rsidP="00000000" w:rsidRDefault="00000000" w:rsidRPr="00000000" w14:paraId="0000023C">
      <w:pPr>
        <w:numPr>
          <w:ilvl w:val="0"/>
          <w:numId w:val="6"/>
        </w:numPr>
        <w:spacing w:after="60" w:line="276" w:lineRule="auto"/>
        <w:ind w:left="480" w:hanging="32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Check for recency: has there been a recent judgment, amendment, or report that changes the landscape since the closest existing scholarship was written? Recency is often the simplest and most defensible form of originality. A paper that can credibly say 'the existing literature on this question predates [event], which has materially altered the analysis in the following respects' has established originality in a way that is straightforward to defend and easy for a reader to verify.</w:t>
      </w:r>
    </w:p>
    <w:p w:rsidR="00000000" w:rsidDel="00000000" w:rsidP="00000000" w:rsidRDefault="00000000" w:rsidRPr="00000000" w14:paraId="0000023D">
      <w:pPr>
        <w:numPr>
          <w:ilvl w:val="0"/>
          <w:numId w:val="6"/>
        </w:numPr>
        <w:spacing w:after="60" w:line="276" w:lineRule="auto"/>
        <w:ind w:left="480" w:hanging="32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If the question closely tracks an existing, well-known piece, consider whether reframing along one of the five narrowing dimensions (Section 4) creates sufficient distance. A doctrinal argument that has been made for one jurisdiction can sometimes be tested, with genuine value, against a different jurisdiction's law on the same point — provided the paper is honest that this is what it is doing, and provided the comparative exercise itself generates some additional insight (a divergence, a convergence, a transplant problem) rather than simply repeating the same argument with different citations.</w:t>
      </w:r>
    </w:p>
    <w:p w:rsidR="00000000" w:rsidDel="00000000" w:rsidP="00000000" w:rsidRDefault="00000000" w:rsidRPr="00000000" w14:paraId="0000023E">
      <w:pPr>
        <w:pStyle w:val="Heading2"/>
        <w:keepNext w:val="0"/>
        <w:keepLines w:val="0"/>
        <w:spacing w:after="100" w:before="220" w:line="276" w:lineRule="auto"/>
        <w:jc w:val="both"/>
        <w:rPr>
          <w:rFonts w:ascii="Georgia" w:cs="Georgia" w:eastAsia="Georgia" w:hAnsi="Georgia"/>
          <w:b w:val="1"/>
          <w:bCs w:val="1"/>
          <w:color w:val="333333"/>
          <w:sz w:val="24"/>
          <w:szCs w:val="24"/>
        </w:rPr>
      </w:pPr>
      <w:r w:rsidDel="00000000" w:rsidR="00000000" w:rsidRPr="00000000">
        <w:rPr>
          <w:rFonts w:ascii="Georgia" w:cs="Georgia" w:eastAsia="Georgia" w:hAnsi="Georgia"/>
          <w:b w:val="1"/>
          <w:bCs w:val="1"/>
          <w:color w:val="333333"/>
          <w:sz w:val="24"/>
          <w:szCs w:val="24"/>
          <w:rtl w:val="0"/>
        </w:rPr>
        <w:t xml:space="preserve">10.2 A Useful Test</w:t>
      </w:r>
    </w:p>
    <w:p w:rsidR="00000000" w:rsidDel="00000000" w:rsidP="00000000" w:rsidRDefault="00000000" w:rsidRPr="00000000" w14:paraId="0000023F">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Authors should be able to complete the sentence: 'Existing scholarship establishes ___, but it does not address ___, which this paper does by ___.' If this sentence cannot be completed with any specificity, the originality of the question should be revisited.</w:t>
      </w:r>
    </w:p>
    <w:p w:rsidR="00000000" w:rsidDel="00000000" w:rsidP="00000000" w:rsidRDefault="00000000" w:rsidRPr="00000000" w14:paraId="00000240">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 is worth noting that this sentence, once completed, often functions as a near-complete draft of the paper's abstract — which is itself a useful sign that the originality check and the framing of the research question are not really separate exercises, but two views of the same underlying requirement: that the paper have something specific to say that has not already been said.</w:t>
      </w:r>
    </w:p>
    <w:p w:rsidR="00000000" w:rsidDel="00000000" w:rsidP="00000000" w:rsidRDefault="00000000" w:rsidRPr="00000000" w14:paraId="00000241">
      <w:pPr>
        <w:pStyle w:val="Heading1"/>
        <w:keepNext w:val="0"/>
        <w:keepLines w:val="0"/>
        <w:pBdr>
          <w:bottom w:color="8b1a1a" w:space="1" w:sz="6" w:val="single"/>
        </w:pBdr>
        <w:spacing w:after="160" w:before="3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Relevance to Policy or Litigation</w:t>
      </w:r>
    </w:p>
    <w:p w:rsidR="00000000" w:rsidDel="00000000" w:rsidP="00000000" w:rsidRDefault="00000000" w:rsidRPr="00000000" w14:paraId="00000242">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While not every paper need be immediately 'actionable,' questions that connect to a live policy debate, a pending legislative proposal, an ongoing litigation, or an active regulatory consultation tend to be both easier to motivate and more likely to be read. Relevance, in this sense, is distinct from originality (Section 10) — a question can be highly original without being especially relevant to any live debate, and a question can engage a highly topical debate while making only a marginal original contribution to it. The strongest submissions tend to score well on both dimensions, but where a trade-off exists, authors should at least be aware of which dimension their question is leaning on.</w:t>
      </w:r>
    </w:p>
    <w:p w:rsidR="00000000" w:rsidDel="00000000" w:rsidP="00000000" w:rsidRDefault="00000000" w:rsidRPr="00000000" w14:paraId="00000243">
      <w:pPr>
        <w:pStyle w:val="Heading2"/>
        <w:keepNext w:val="0"/>
        <w:keepLines w:val="0"/>
        <w:spacing w:after="100" w:before="220" w:line="276" w:lineRule="auto"/>
        <w:jc w:val="both"/>
        <w:rPr>
          <w:rFonts w:ascii="Georgia" w:cs="Georgia" w:eastAsia="Georgia" w:hAnsi="Georgia"/>
          <w:b w:val="1"/>
          <w:bCs w:val="1"/>
          <w:color w:val="333333"/>
          <w:sz w:val="24"/>
          <w:szCs w:val="24"/>
        </w:rPr>
      </w:pPr>
      <w:r w:rsidDel="00000000" w:rsidR="00000000" w:rsidRPr="00000000">
        <w:rPr>
          <w:rFonts w:ascii="Georgia" w:cs="Georgia" w:eastAsia="Georgia" w:hAnsi="Georgia"/>
          <w:b w:val="1"/>
          <w:bCs w:val="1"/>
          <w:color w:val="333333"/>
          <w:sz w:val="24"/>
          <w:szCs w:val="24"/>
          <w:rtl w:val="0"/>
        </w:rPr>
        <w:t xml:space="preserve">11.1 Questions to Ask</w:t>
      </w:r>
    </w:p>
    <w:p w:rsidR="00000000" w:rsidDel="00000000" w:rsidP="00000000" w:rsidRDefault="00000000" w:rsidRPr="00000000" w14:paraId="00000244">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Is there a bill, draft regulation, or consultation paper currently under consideration to which this question is directly relevant? If so, the paper has a natural and time-sensitive 'hook' — but authors should also consider the stability concern raised in Section 8 (a bill may change substantially, or lapse, before publication) and frame the question so that its analysis remains useful regardless of the bill's eventual fate.</w:t>
      </w:r>
    </w:p>
    <w:p w:rsidR="00000000" w:rsidDel="00000000" w:rsidP="00000000" w:rsidRDefault="00000000" w:rsidRPr="00000000" w14:paraId="00000245">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Is there a matter pending before a court (especially a constitutional court) that raises this question, such that the paper's conclusions could inform amicus submissions, academic commentary, or judicial reasoning? Where this is the case, authors should be careful to distinguish between analysing the legal arguments available to the court (a legitimate and valuable doctrinal exercise) and predicting or advocating for a particular outcome in a specific pending case, which raises different considerations and may not be appropriate depending on the journal's editorial policy and the sub judice status of the matter.</w:t>
      </w:r>
    </w:p>
    <w:p w:rsidR="00000000" w:rsidDel="00000000" w:rsidP="00000000" w:rsidRDefault="00000000" w:rsidRPr="00000000" w14:paraId="00000246">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Would a regulator, legislator, or litigant have a concrete use for the answer to this question — for example, in drafting guidelines, framing arguments, or designing enforcement mechanisms? A useful exercise is to imagine a specific, named type of reader — a counsel briefing a matter, an official drafting a circular, a legislative draftsperson preparing amendments — and ask what, concretely, that reader would do differently having read the paper's conclusion. If no such reader can be imagined, even hypothetically, the question's policy or litigation relevance may be limited, though this is not necessarily fatal, since purely theoretical contributions have their own value (see the closing remarks of this section).</w:t>
      </w:r>
    </w:p>
    <w:p w:rsidR="00000000" w:rsidDel="00000000" w:rsidP="00000000" w:rsidRDefault="00000000" w:rsidRPr="00000000" w14:paraId="00000247">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Even where the question is primarily theoretical, does the paper conclude with recommendations that some identifiable actor (a court, a regulator, a legislature) could plausibly act upon? Theoretical contributions — for instance, papers that propose a new way of understanding the relationship between two doctrines, or that critique the conceptual foundations of an established test — are valuable in their own right and need not be justified solely by reference to immediate practical application. But even theoretical papers are generally strengthened by a closing discussion of what their reconceptualisation would imply for practice, even if only in illustrative terms.</w:t>
      </w:r>
    </w:p>
    <w:p w:rsidR="00000000" w:rsidDel="00000000" w:rsidP="00000000" w:rsidRDefault="00000000" w:rsidRPr="00000000" w14:paraId="00000248">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Where possible, the introduction of the paper should make this connection explicit — situating the question within a live debate rather than treating it as a purely academic exercise. This is partly a matter of motivating the reader, but it also serves the originality check: a question's relevance to a live debate is often itself part of what makes the timing of the paper original, in the sense discussed in Section 10.1.</w:t>
      </w:r>
    </w:p>
    <w:p w:rsidR="00000000" w:rsidDel="00000000" w:rsidP="00000000" w:rsidRDefault="00000000" w:rsidRPr="00000000" w14:paraId="00000249">
      <w:pPr>
        <w:pStyle w:val="Heading1"/>
        <w:keepNext w:val="0"/>
        <w:keepLines w:val="0"/>
        <w:pBdr>
          <w:bottom w:color="8b1a1a" w:space="1" w:sz="6" w:val="single"/>
        </w:pBdr>
        <w:spacing w:after="160" w:before="32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Avoiding Vague and Descriptive-Only Questions</w:t>
      </w:r>
    </w:p>
    <w:p w:rsidR="00000000" w:rsidDel="00000000" w:rsidP="00000000" w:rsidRDefault="00000000" w:rsidRPr="00000000" w14:paraId="0000024A">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most frequent reason proposals are returned for revision is that the question, as framed, would lead to a purely descriptive paper — one that explains the law as it stands without advancing an argument, identifying a problem, or reaching a conclusion. This section catalogues the warning signs of such questions and the techniques for converting them into analytical ones, building on the diagnostics introduced in Section 2.</w:t>
      </w:r>
    </w:p>
    <w:p w:rsidR="00000000" w:rsidDel="00000000" w:rsidP="00000000" w:rsidRDefault="00000000" w:rsidRPr="00000000" w14:paraId="0000024B">
      <w:pPr>
        <w:pStyle w:val="Heading2"/>
        <w:keepNext w:val="0"/>
        <w:keepLines w:val="0"/>
        <w:spacing w:after="100" w:before="220" w:line="276" w:lineRule="auto"/>
        <w:jc w:val="both"/>
        <w:rPr>
          <w:rFonts w:ascii="Georgia" w:cs="Georgia" w:eastAsia="Georgia" w:hAnsi="Georgia"/>
          <w:b w:val="1"/>
          <w:bCs w:val="1"/>
          <w:color w:val="333333"/>
          <w:sz w:val="24"/>
          <w:szCs w:val="24"/>
        </w:rPr>
      </w:pPr>
      <w:r w:rsidDel="00000000" w:rsidR="00000000" w:rsidRPr="00000000">
        <w:rPr>
          <w:rFonts w:ascii="Georgia" w:cs="Georgia" w:eastAsia="Georgia" w:hAnsi="Georgia"/>
          <w:b w:val="1"/>
          <w:bCs w:val="1"/>
          <w:color w:val="333333"/>
          <w:sz w:val="24"/>
          <w:szCs w:val="24"/>
          <w:rtl w:val="0"/>
        </w:rPr>
        <w:t xml:space="preserve">12.1 Warning Signs of a Descriptive-Only Question</w:t>
      </w:r>
    </w:p>
    <w:p w:rsidR="00000000" w:rsidDel="00000000" w:rsidP="00000000" w:rsidRDefault="00000000" w:rsidRPr="00000000" w14:paraId="0000024C">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question begins with 'What is the law relating to...' with no further qualification. This phrasing is not always fatal — it can be the opening clause of a sub-question that establishes a baseline (see the funnel and benchmark patterns in Section 7.3) — but if it is the entirety of the primary question, it signals that the paper's destination has not yet been decided.</w:t>
      </w:r>
    </w:p>
    <w:p w:rsidR="00000000" w:rsidDel="00000000" w:rsidP="00000000" w:rsidRDefault="00000000" w:rsidRPr="00000000" w14:paraId="0000024D">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question can be fully answered by summarising a statute and a handful of leading cases, with nothing left to argue. A useful check here is to ask: once this summary has been written, what would the next sentence of the paper say? If the honest answer is 'nothing — the summary is the paper,' the question is descriptive.</w:t>
      </w:r>
    </w:p>
    <w:p w:rsidR="00000000" w:rsidDel="00000000" w:rsidP="00000000" w:rsidRDefault="00000000" w:rsidRPr="00000000" w14:paraId="0000024E">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question uses vague evaluative terms — 'effective,' 'adequate,' 'robust,' 'meaningful' — without specifying the standard against which effectiveness, adequacy, or robustness will be measured. These terms function as placeholders for an argument the author has not yet constructed; until the standard is specified, the term cannot do any analytical work, because any answer ('yes, it is effective' or 'no, it is not') would be unfalsifiable.</w:t>
      </w:r>
    </w:p>
    <w:p w:rsidR="00000000" w:rsidDel="00000000" w:rsidP="00000000" w:rsidRDefault="00000000" w:rsidRPr="00000000" w14:paraId="0000024F">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question covers an entire field ('cyber law,' 'arbitration law,' 'company law') rather than a specific rule, doctrine, or dispute within it — this is, in essence, the topic/question conflation discussed in Section 2, restated as a warning sign specific to the field-level framing that most commonly produces it.</w:t>
      </w:r>
    </w:p>
    <w:p w:rsidR="00000000" w:rsidDel="00000000" w:rsidP="00000000" w:rsidRDefault="00000000" w:rsidRPr="00000000" w14:paraId="00000250">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question could have been asked, in identical form, ten years ago and ten years from now — i.e., it is not anchored to any specific legal development. This is closely related to the time-period narrowing discussed in Section 4.2: a question with no temporal anchor often has no analytical anchor either, because nothing in particular is being explained or evaluated.</w:t>
      </w:r>
    </w:p>
    <w:p w:rsidR="00000000" w:rsidDel="00000000" w:rsidP="00000000" w:rsidRDefault="00000000" w:rsidRPr="00000000" w14:paraId="00000251">
      <w:pPr>
        <w:pStyle w:val="Heading2"/>
        <w:keepNext w:val="0"/>
        <w:keepLines w:val="0"/>
        <w:spacing w:after="100" w:before="220" w:line="276" w:lineRule="auto"/>
        <w:jc w:val="both"/>
        <w:rPr>
          <w:rFonts w:ascii="Georgia" w:cs="Georgia" w:eastAsia="Georgia" w:hAnsi="Georgia"/>
          <w:b w:val="1"/>
          <w:bCs w:val="1"/>
          <w:color w:val="333333"/>
          <w:sz w:val="24"/>
          <w:szCs w:val="24"/>
        </w:rPr>
      </w:pPr>
      <w:r w:rsidDel="00000000" w:rsidR="00000000" w:rsidRPr="00000000">
        <w:rPr>
          <w:rFonts w:ascii="Georgia" w:cs="Georgia" w:eastAsia="Georgia" w:hAnsi="Georgia"/>
          <w:b w:val="1"/>
          <w:bCs w:val="1"/>
          <w:color w:val="333333"/>
          <w:sz w:val="24"/>
          <w:szCs w:val="24"/>
          <w:rtl w:val="0"/>
        </w:rPr>
        <w:t xml:space="preserve">12.2 Converting Descriptive Questions into Analytical Ones</w:t>
      </w:r>
    </w:p>
    <w:p w:rsidR="00000000" w:rsidDel="00000000" w:rsidP="00000000" w:rsidRDefault="00000000" w:rsidRPr="00000000" w14:paraId="00000252">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most reliable fix is to insert a comparator, a standard, or a tension. Ask: compared to what? against what benchmark? In tension with what competing value or provision? Each of these three insertions corresponds to a distinct technique, and authors faced with a descriptive question can productively work through all three before settling on a reframing.</w:t>
      </w:r>
    </w:p>
    <w:p w:rsidR="00000000" w:rsidDel="00000000" w:rsidP="00000000" w:rsidRDefault="00000000" w:rsidRPr="00000000" w14:paraId="00000253">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Inserting a comparator converts 'what is the law on X' into 'how does the law on X compare to Y' — where Y might be the law in another jurisdiction, the law as it stood before a particular change, the law governing an analogous situation within the same jurisdiction, or the law as recommended by an authoritative reform body. The comparison itself generates the analytical content: differences between the compared items must be explained, and explaining them is an argument, not a description.</w:t>
      </w:r>
    </w:p>
    <w:p w:rsidR="00000000" w:rsidDel="00000000" w:rsidP="00000000" w:rsidRDefault="00000000" w:rsidRPr="00000000" w14:paraId="00000254">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Inserting a standard converts 'is X adequate' into 'does X satisfy [specified standard]' — where the standard might be drawn from a constitutional provision, an international instrument, an economic concept (efficiency, transparency costs), or a stated legislative objective (as in the IBC 'fresh start' example in Section 7.2). Once the standard is specified, 'adequacy' becomes a measurable property rather than a matter of unstructured impression.</w:t>
      </w:r>
    </w:p>
    <w:p w:rsidR="00000000" w:rsidDel="00000000" w:rsidP="00000000" w:rsidRDefault="00000000" w:rsidRPr="00000000" w14:paraId="00000255">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Inserting a tension converts 'what is the law on X' into 'how does the law on X resolve the tension between A and B' — where A and B are two values, principles, or provisions that pull in different directions. This technique is especially powerful because it often surfaces the focused legal issue described in Section 3 directly: many of the most productive research questions are, at bottom, questions about how a particular rule resolves (or fails to resolve, or resolves inconsistently) a tension that the rule's drafters were aware of but did not fully address.</w:t>
      </w:r>
    </w:p>
    <w:p w:rsidR="00000000" w:rsidDel="00000000" w:rsidP="00000000" w:rsidRDefault="00000000" w:rsidRPr="00000000" w14:paraId="00000256">
      <w:pPr>
        <w:pBdr>
          <w:left w:color="8b1a1a" w:space="8" w:sz="18" w:val="single"/>
        </w:pBdr>
        <w:spacing w:after="160" w:before="80" w:line="276" w:lineRule="auto"/>
        <w:ind w:left="360" w:firstLine="0"/>
        <w:jc w:val="both"/>
        <w:rPr>
          <w:rFonts w:ascii="Georgia" w:cs="Georgia" w:eastAsia="Georgia" w:hAnsi="Georgia"/>
          <w:sz w:val="24"/>
          <w:szCs w:val="24"/>
        </w:rPr>
      </w:pPr>
      <w:r w:rsidDel="00000000" w:rsidR="00000000" w:rsidRPr="00000000">
        <w:rPr>
          <w:rFonts w:ascii="Georgia" w:cs="Georgia" w:eastAsia="Georgia" w:hAnsi="Georgia"/>
          <w:b w:val="1"/>
          <w:bCs w:val="1"/>
          <w:i w:val="1"/>
          <w:iCs w:val="1"/>
          <w:sz w:val="24"/>
          <w:szCs w:val="24"/>
          <w:rtl w:val="0"/>
        </w:rPr>
        <w:t xml:space="preserve">Descriptive: </w:t>
      </w:r>
      <w:r w:rsidDel="00000000" w:rsidR="00000000" w:rsidRPr="00000000">
        <w:rPr>
          <w:rFonts w:ascii="Georgia" w:cs="Georgia" w:eastAsia="Georgia" w:hAnsi="Georgia"/>
          <w:i w:val="1"/>
          <w:iCs w:val="1"/>
          <w:sz w:val="24"/>
          <w:szCs w:val="24"/>
          <w:rtl w:val="0"/>
        </w:rPr>
        <w:t xml:space="preserve">What is the law on environmental impact assessments in India?</w:t>
      </w:r>
      <w:r w:rsidDel="00000000" w:rsidR="00000000" w:rsidRPr="00000000">
        <w:rPr>
          <w:rtl w:val="0"/>
        </w:rPr>
      </w:r>
    </w:p>
    <w:p w:rsidR="00000000" w:rsidDel="00000000" w:rsidP="00000000" w:rsidRDefault="00000000" w:rsidRPr="00000000" w14:paraId="00000257">
      <w:pPr>
        <w:pBdr>
          <w:left w:color="8b1a1a" w:space="8" w:sz="18" w:val="single"/>
        </w:pBdr>
        <w:spacing w:after="160" w:before="80" w:line="276" w:lineRule="auto"/>
        <w:ind w:left="360" w:firstLine="0"/>
        <w:jc w:val="both"/>
        <w:rPr>
          <w:rFonts w:ascii="Georgia" w:cs="Georgia" w:eastAsia="Georgia" w:hAnsi="Georgia"/>
          <w:sz w:val="24"/>
          <w:szCs w:val="24"/>
        </w:rPr>
      </w:pPr>
      <w:r w:rsidDel="00000000" w:rsidR="00000000" w:rsidRPr="00000000">
        <w:rPr>
          <w:rFonts w:ascii="Georgia" w:cs="Georgia" w:eastAsia="Georgia" w:hAnsi="Georgia"/>
          <w:b w:val="1"/>
          <w:bCs w:val="1"/>
          <w:i w:val="1"/>
          <w:iCs w:val="1"/>
          <w:sz w:val="24"/>
          <w:szCs w:val="24"/>
          <w:rtl w:val="0"/>
        </w:rPr>
        <w:t xml:space="preserve">Analytical: </w:t>
      </w:r>
      <w:r w:rsidDel="00000000" w:rsidR="00000000" w:rsidRPr="00000000">
        <w:rPr>
          <w:rFonts w:ascii="Georgia" w:cs="Georgia" w:eastAsia="Georgia" w:hAnsi="Georgia"/>
          <w:i w:val="1"/>
          <w:iCs w:val="1"/>
          <w:sz w:val="24"/>
          <w:szCs w:val="24"/>
          <w:rtl w:val="0"/>
        </w:rPr>
        <w:t xml:space="preserve">Does the post-2020 trend of granting ex post facto environmental clearances by Indian courts and tribunals undermine the precautionary principle embedded in the Environment Impact Assessment Notification, 2006?</w:t>
      </w:r>
      <w:r w:rsidDel="00000000" w:rsidR="00000000" w:rsidRPr="00000000">
        <w:rPr>
          <w:rtl w:val="0"/>
        </w:rPr>
      </w:r>
    </w:p>
    <w:p w:rsidR="00000000" w:rsidDel="00000000" w:rsidP="00000000" w:rsidRDefault="00000000" w:rsidRPr="00000000" w14:paraId="00000258">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analytical version retains the same subject matter but adds a time anchor (post-2020 trend), an institutional anchor (courts and tribunals), a specific practice (ex post facto clearances), and a doctrinal standard against which it can be evaluated (the precautionary principle). It is, in effect, an application of the 'inserting a standard' and 'inserting a tension' techniques together: the standard is the precautionary principle, and the tension is between that principle's forward-looking logic and the retrospective nature of an ex post facto clearance.</w:t>
      </w:r>
    </w:p>
    <w:p w:rsidR="00000000" w:rsidDel="00000000" w:rsidP="00000000" w:rsidRDefault="00000000" w:rsidRPr="00000000" w14:paraId="00000259">
      <w:pPr>
        <w:pStyle w:val="Heading1"/>
        <w:keepNext w:val="0"/>
        <w:keepLines w:val="0"/>
        <w:pBdr>
          <w:bottom w:color="8b1a1a" w:space="1" w:sz="6" w:val="single"/>
        </w:pBdr>
        <w:spacing w:after="160" w:before="320" w:line="276" w:lineRule="auto"/>
        <w:jc w:val="both"/>
        <w:rPr>
          <w:rFonts w:ascii="Georgia" w:cs="Georgia" w:eastAsia="Georgia" w:hAnsi="Georgia"/>
          <w:b w:val="1"/>
          <w:bCs w:val="1"/>
          <w:sz w:val="24"/>
          <w:szCs w:val="24"/>
        </w:rPr>
      </w:pPr>
      <w:bookmarkStart w:colFirst="0" w:colLast="0" w:name="_cnrkjops3yyg" w:id="1"/>
      <w:bookmarkEnd w:id="1"/>
      <w:r w:rsidDel="00000000" w:rsidR="00000000" w:rsidRPr="00000000">
        <w:rPr>
          <w:rFonts w:ascii="Georgia" w:cs="Georgia" w:eastAsia="Georgia" w:hAnsi="Georgia"/>
          <w:b w:val="1"/>
          <w:bCs w:val="1"/>
          <w:sz w:val="24"/>
          <w:szCs w:val="24"/>
          <w:rtl w:val="0"/>
        </w:rPr>
        <w:t xml:space="preserve">Final Checklist</w:t>
      </w:r>
    </w:p>
    <w:p w:rsidR="00000000" w:rsidDel="00000000" w:rsidP="00000000" w:rsidRDefault="00000000" w:rsidRPr="00000000" w14:paraId="0000025A">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Before submitting a research proposal, authors should be able to answer 'yes' to each of the following. The checklist is deliberately ordered to follow the structure of this guide, so that a 'no' answer at any point can be traced back to the relevant section for guidance on how to address it.</w:t>
      </w:r>
    </w:p>
    <w:p w:rsidR="00000000" w:rsidDel="00000000" w:rsidP="00000000" w:rsidRDefault="00000000" w:rsidRPr="00000000" w14:paraId="0000025B">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Is this stated as a question (or a clearly contestable proposition), not a topic? (Section 2)</w:t>
      </w:r>
    </w:p>
    <w:p w:rsidR="00000000" w:rsidDel="00000000" w:rsidP="00000000" w:rsidRDefault="00000000" w:rsidRPr="00000000" w14:paraId="0000025C">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Does it identify a specific legal issue in a single sentence, without relying on 'and,' 'various,' or 'several'? (Section 3)</w:t>
      </w:r>
    </w:p>
    <w:p w:rsidR="00000000" w:rsidDel="00000000" w:rsidP="00000000" w:rsidRDefault="00000000" w:rsidRPr="00000000" w14:paraId="0000025D">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Has it been narrowed to at least two of: jurisdiction, time period, institution, population, and doctrine? (Section 4)</w:t>
      </w:r>
    </w:p>
    <w:p w:rsidR="00000000" w:rsidDel="00000000" w:rsidP="00000000" w:rsidRDefault="00000000" w:rsidRPr="00000000" w14:paraId="0000025E">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Is it clear whether the question is doctrinal, empirical, or hybrid — and does the author have the means to pursue that methodology? (Section 6)</w:t>
      </w:r>
    </w:p>
    <w:p w:rsidR="00000000" w:rsidDel="00000000" w:rsidP="00000000" w:rsidRDefault="00000000" w:rsidRPr="00000000" w14:paraId="0000025F">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Is there one primary question, supported by two to four distinct sub-questions that decompose it without overlap or gaps? (Section 7)</w:t>
      </w:r>
    </w:p>
    <w:p w:rsidR="00000000" w:rsidDel="00000000" w:rsidP="00000000" w:rsidRDefault="00000000" w:rsidRPr="00000000" w14:paraId="00000260">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Has the feasibility check been completed honestly, including word-limit, timeline, expertise, and stability considerations — and, where relevant, has a pilot exercise been conducted? (Section 8)</w:t>
      </w:r>
    </w:p>
    <w:p w:rsidR="00000000" w:rsidDel="00000000" w:rsidP="00000000" w:rsidRDefault="00000000" w:rsidRPr="00000000" w14:paraId="00000261">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Have the required sources been identified and confirmed as accessible, with any source asymmetries acknowledged? (Section 9)</w:t>
      </w:r>
    </w:p>
    <w:p w:rsidR="00000000" w:rsidDel="00000000" w:rsidP="00000000" w:rsidRDefault="00000000" w:rsidRPr="00000000" w14:paraId="00000262">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Has an originality check been completed, with the gap in existing literature stated specifically using the 'existing scholarship establishes ___, but...' test? (Section 10)</w:t>
      </w:r>
    </w:p>
    <w:p w:rsidR="00000000" w:rsidDel="00000000" w:rsidP="00000000" w:rsidRDefault="00000000" w:rsidRPr="00000000" w14:paraId="00000263">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Is the question connected, however loosely, to a live policy, regulatory, or litigation context, or otherwise justified as a theoretical contribution? (Section 11)</w:t>
      </w:r>
    </w:p>
    <w:p w:rsidR="00000000" w:rsidDel="00000000" w:rsidP="00000000" w:rsidRDefault="00000000" w:rsidRPr="00000000" w14:paraId="00000264">
      <w:pPr>
        <w:numPr>
          <w:ilvl w:val="0"/>
          <w:numId w:val="7"/>
        </w:numPr>
        <w:spacing w:after="60" w:line="276" w:lineRule="auto"/>
        <w:ind w:left="480" w:hanging="30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Does the question avoid vague evaluative terms and purely descriptive framing by inserting a comparator, standard, or tension? (Section 12)</w:t>
      </w:r>
    </w:p>
    <w:p w:rsidR="00000000" w:rsidDel="00000000" w:rsidP="00000000" w:rsidRDefault="00000000" w:rsidRPr="00000000" w14:paraId="00000265">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Authors who can answer 'yes' to each item are encouraged to proceed to drafting. Authors who find themselves answering 'no' — or 'not yet' — to one or more items should treat this not as a failure but as the normal and expected outcome of the framing process: it is far better to discover, at this stage, that a question needs further narrowing, reframing, or rethinking than to discover it after a full draft has been written. The time invested in working through this guide is, in almost every case, recovered many times over in the writing process that follows.</w:t>
      </w:r>
    </w:p>
    <w:p w:rsidR="00000000" w:rsidDel="00000000" w:rsidP="00000000" w:rsidRDefault="00000000" w:rsidRPr="00000000" w14:paraId="00000266">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67">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68">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69">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6A">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6B">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6C">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6D">
      <w:pPr>
        <w:spacing w:line="276" w:lineRule="auto"/>
        <w:jc w:val="both"/>
        <w:rPr>
          <w:rFonts w:ascii="Georgia" w:cs="Georgia" w:eastAsia="Georgia" w:hAnsi="Georgia"/>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decimal"/>
      <w:lvlText w:val="%1."/>
      <w:lvlJc w:val="left"/>
      <w:pPr>
        <w:ind w:left="0" w:firstLine="0"/>
      </w:pPr>
      <w:rPr>
        <w:u w:val="none"/>
      </w:rPr>
    </w:lvl>
    <w:lvl w:ilvl="1">
      <w:start w:val="1"/>
      <w:numFmt w:val="lowerLetter"/>
      <w:lvlText w:val="%2"/>
      <w:lvlJc w:val="left"/>
      <w:pPr>
        <w:ind w:left="1080" w:hanging="1080"/>
      </w:pPr>
      <w:rPr>
        <w:u w:val="none"/>
      </w:rPr>
    </w:lvl>
    <w:lvl w:ilvl="2">
      <w:start w:val="1"/>
      <w:numFmt w:val="lowerRoman"/>
      <w:lvlText w:val="%3"/>
      <w:lvlJc w:val="left"/>
      <w:pPr>
        <w:ind w:left="1800" w:hanging="1800"/>
      </w:pPr>
      <w:rPr>
        <w:u w:val="none"/>
      </w:rPr>
    </w:lvl>
    <w:lvl w:ilvl="3">
      <w:start w:val="1"/>
      <w:numFmt w:val="decimal"/>
      <w:lvlText w:val="%4"/>
      <w:lvlJc w:val="left"/>
      <w:pPr>
        <w:ind w:left="2520" w:hanging="2520"/>
      </w:pPr>
      <w:rPr>
        <w:u w:val="none"/>
      </w:rPr>
    </w:lvl>
    <w:lvl w:ilvl="4">
      <w:start w:val="1"/>
      <w:numFmt w:val="lowerLetter"/>
      <w:lvlText w:val="%5"/>
      <w:lvlJc w:val="left"/>
      <w:pPr>
        <w:ind w:left="3240" w:hanging="3240"/>
      </w:pPr>
      <w:rPr>
        <w:u w:val="none"/>
      </w:rPr>
    </w:lvl>
    <w:lvl w:ilvl="5">
      <w:start w:val="1"/>
      <w:numFmt w:val="lowerRoman"/>
      <w:lvlText w:val="%6"/>
      <w:lvlJc w:val="left"/>
      <w:pPr>
        <w:ind w:left="3960" w:hanging="3960"/>
      </w:pPr>
      <w:rPr>
        <w:u w:val="none"/>
      </w:rPr>
    </w:lvl>
    <w:lvl w:ilvl="6">
      <w:start w:val="1"/>
      <w:numFmt w:val="decimal"/>
      <w:lvlText w:val="%7"/>
      <w:lvlJc w:val="left"/>
      <w:pPr>
        <w:ind w:left="4680" w:hanging="4680"/>
      </w:pPr>
      <w:rPr>
        <w:u w:val="none"/>
      </w:rPr>
    </w:lvl>
    <w:lvl w:ilvl="7">
      <w:start w:val="1"/>
      <w:numFmt w:val="lowerLetter"/>
      <w:lvlText w:val="%8"/>
      <w:lvlJc w:val="left"/>
      <w:pPr>
        <w:ind w:left="5400" w:hanging="5400"/>
      </w:pPr>
      <w:rPr>
        <w:u w:val="none"/>
      </w:rPr>
    </w:lvl>
    <w:lvl w:ilvl="8">
      <w:start w:val="1"/>
      <w:numFmt w:val="lowerRoman"/>
      <w:lvlText w:val="%9"/>
      <w:lvlJc w:val="left"/>
      <w:pPr>
        <w:ind w:left="6120" w:hanging="6120"/>
      </w:pPr>
      <w:rPr>
        <w:u w:val="none"/>
      </w:rPr>
    </w:lvl>
  </w:abstractNum>
  <w:abstractNum w:abstractNumId="6">
    <w:lvl w:ilvl="0">
      <w:start w:val="1"/>
      <w:numFmt w:val="decimal"/>
      <w:lvlText w:val="%1."/>
      <w:lvlJc w:val="left"/>
      <w:pPr>
        <w:ind w:left="480" w:hanging="32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abstractNum w:abstractNumId="7">
    <w:lvl w:ilvl="0">
      <w:start w:val="1"/>
      <w:numFmt w:val="bullet"/>
      <w:lvlText w:val="—"/>
      <w:lvlJc w:val="left"/>
      <w:pPr>
        <w:ind w:left="480" w:hanging="300"/>
      </w:pPr>
      <w:rPr>
        <w:u w:val="none"/>
      </w:rPr>
    </w:lvl>
    <w:lvl w:ilvl="1">
      <w:start w:val="1"/>
      <w:numFmt w:val="bullet"/>
      <w:lvlText w:val="•"/>
      <w:lvlJc w:val="left"/>
      <w:pPr>
        <w:ind w:left="900" w:hanging="28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