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both"/>
        <w:rPr>
          <w:rFonts w:ascii="Georgia" w:cs="Georgia" w:eastAsia="Georgia" w:hAnsi="Georgia"/>
          <w:b w:val="1"/>
          <w:bCs w:val="1"/>
          <w:color w:val="073763"/>
          <w:sz w:val="28"/>
          <w:szCs w:val="28"/>
        </w:rPr>
      </w:pPr>
      <w:r w:rsidDel="00000000" w:rsidR="00000000" w:rsidRPr="00000000">
        <w:rPr>
          <w:rFonts w:ascii="Georgia" w:cs="Georgia" w:eastAsia="Georgia" w:hAnsi="Georgia"/>
          <w:b w:val="1"/>
          <w:bCs w:val="1"/>
          <w:color w:val="073763"/>
          <w:sz w:val="28"/>
          <w:szCs w:val="28"/>
          <w:rtl w:val="0"/>
        </w:rPr>
        <w:t xml:space="preserve">A Guide on Research Methodology and Citations</w:t>
      </w:r>
    </w:p>
    <w:p w:rsidR="00000000" w:rsidDel="00000000" w:rsidP="00000000" w:rsidRDefault="00000000" w:rsidRPr="00000000" w14:paraId="00000002">
      <w:pPr>
        <w:spacing w:after="160" w:line="276" w:lineRule="auto"/>
        <w:jc w:val="both"/>
        <w:rPr>
          <w:rFonts w:ascii="Georgia" w:cs="Georgia" w:eastAsia="Georgia" w:hAnsi="Georgia"/>
          <w:b w:val="1"/>
          <w:bCs w:val="1"/>
          <w:color w:val="073763"/>
          <w:sz w:val="24"/>
          <w:szCs w:val="24"/>
        </w:rPr>
      </w:pPr>
      <w:r w:rsidDel="00000000" w:rsidR="00000000" w:rsidRPr="00000000">
        <w:rPr>
          <w:rtl w:val="0"/>
        </w:rPr>
      </w:r>
    </w:p>
    <w:p w:rsidR="00000000" w:rsidDel="00000000" w:rsidP="00000000" w:rsidRDefault="00000000" w:rsidRPr="00000000" w14:paraId="00000003">
      <w:pPr>
        <w:spacing w:after="160" w:line="276" w:lineRule="auto"/>
        <w:jc w:val="both"/>
        <w:rPr>
          <w:rFonts w:ascii="Georgia" w:cs="Georgia" w:eastAsia="Georgia" w:hAnsi="Georgia"/>
          <w:b w:val="1"/>
          <w:bCs w:val="1"/>
          <w:color w:val="6fa8dc"/>
          <w:sz w:val="24"/>
          <w:szCs w:val="24"/>
        </w:rPr>
      </w:pPr>
      <w:r w:rsidDel="00000000" w:rsidR="00000000" w:rsidRPr="00000000">
        <w:rPr>
          <w:rFonts w:ascii="Georgia" w:cs="Georgia" w:eastAsia="Georgia" w:hAnsi="Georgia"/>
          <w:b w:val="1"/>
          <w:bCs w:val="1"/>
          <w:color w:val="6fa8dc"/>
          <w:sz w:val="24"/>
          <w:szCs w:val="24"/>
          <w:rtl w:val="0"/>
        </w:rPr>
        <w:t xml:space="preserve">Research Methodology</w:t>
      </w:r>
    </w:p>
    <w:p w:rsidR="00000000" w:rsidDel="00000000" w:rsidP="00000000" w:rsidRDefault="00000000" w:rsidRPr="00000000" w14:paraId="00000004">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Methodology in legal scholarship serves as the structural and epistemic backbone that converts mere data collection into valid, verifiable legal knowledge. It encompasses not only the practical tools used to extract data but also the comprehensive justification for why specific techniques are suitable for answering complex legal questions. As legal systems become more complex, the legal researcher must navigate a diverse spectrum of approaches, ranging from traditional internal doctrinal research to external socio-legal inquiries.</w:t>
      </w:r>
    </w:p>
    <w:p w:rsidR="00000000" w:rsidDel="00000000" w:rsidP="00000000" w:rsidRDefault="00000000" w:rsidRPr="00000000" w14:paraId="00000005">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guide examines the core legal research methodologies, specifically contrasting the traditional doctrinal method with comparative and empirical approaches. It evaluates the distinct structural lenses provided by analytical and historical approaches, detailing their specific utilities and limitations. Particular attention is devoted to the strategic integration of these methods through mixed-method designs, demonstrating how combining legal theory with empirical data can offer persuasive solutions for contemporary law reform. Furthermore, the study outlines the operational hierarchies of primary, secondary, and empirical sources, while highlighting the strict ethical and logistical frameworks required for human-subject field research.</w:t>
      </w:r>
    </w:p>
    <w:p w:rsidR="00000000" w:rsidDel="00000000" w:rsidP="00000000" w:rsidRDefault="00000000" w:rsidRPr="00000000" w14:paraId="00000006">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paper argues that while doctrinal research remains fundamental to legal practice, modern legal scholarship increasingly demands interdisciplinary agility to bridge the gap between "law on the books" and "law in action." The study concludes that the future of robust legal research lies in a balanced, methodologically rigorous approach that combines conceptual clarity with real-world empirical accountability to address emerging systemic and societal challenges.</w:t>
      </w:r>
    </w:p>
    <w:p w:rsidR="00000000" w:rsidDel="00000000" w:rsidP="00000000" w:rsidRDefault="00000000" w:rsidRPr="00000000" w14:paraId="00000007">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methodology constitutes the vital foundation upon which the validity and authority of legal scholarship rest. Far from being a mechanical compilation of bibliographic sources or software tools, methodology represents a systematic, critical analysis of the processes through which legal knowledge is generated and validated. It bridges the structural divide between theoretical legal principles and their practical societal impact. As contemporary legal environments undergo unprecedented changes driven by globalisation, technological transformation, and evolving civic needs, the strategies used to research, interpret, and reform the law must be clear, rigorous, and adaptable.</w:t>
      </w:r>
    </w:p>
    <w:p w:rsidR="00000000" w:rsidDel="00000000" w:rsidP="00000000" w:rsidRDefault="00000000" w:rsidRPr="00000000" w14:paraId="00000008">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Historically, legal research leaned heavily on internal, doctrinal analysis, prioritising statutory text and judicial precedents. However, modern legal scholarship has expanded to incorporate comparative, empirical, and interdisciplinary frameworks. This expansion allows researchers to evaluate not only what the law says, but how it functions in reality. By categorising methods into doctrinal, comparative, and socio-legal frameworks, this study provides a clear overview of how to choose, justify, and execute a research strategy.</w:t>
      </w:r>
    </w:p>
    <w:p w:rsidR="00000000" w:rsidDel="00000000" w:rsidP="00000000" w:rsidRDefault="00000000" w:rsidRPr="00000000" w14:paraId="00000009">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guide examines the conceptual definition of methodology, details the core approaches to legal inquiry, highlights the critical requirements of source selection, and establishes the essential ethical standards for empirical fieldwork. Ultimately, the paper provides a roadmap for using legal research as an effective tool for institutional reform and judicial decision-making.</w:t>
      </w:r>
    </w:p>
    <w:p w:rsidR="00000000" w:rsidDel="00000000" w:rsidP="00000000" w:rsidRDefault="00000000" w:rsidRPr="00000000" w14:paraId="0000000A">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INTRODUCTION</w:t>
      </w:r>
    </w:p>
    <w:p w:rsidR="00000000" w:rsidDel="00000000" w:rsidP="00000000" w:rsidRDefault="00000000" w:rsidRPr="00000000" w14:paraId="0000000B">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expansion of statutory governance and the increasing complexity of legal institutions demand a structured approach to legal inquiry. Legal research is unique because it must manage both abstract philosophical principles and concrete real-world effects. Unlike purely scientific or purely sociological fields, legal scholarship must balance internal logical consistency with external social relevance.</w:t>
      </w:r>
    </w:p>
    <w:p w:rsidR="00000000" w:rsidDel="00000000" w:rsidP="00000000" w:rsidRDefault="00000000" w:rsidRPr="00000000" w14:paraId="0000000C">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objectives of legal research extend well beyond simply finding a specific case or reading a statutory section. It acts as an instrument for clarifying statutory ambiguities, exposing systemic enforcement gaps, proposing legislative updates, and tracking the historical roots of current legal ideas. Consequently, a research project's success depends on choosing a methodology that aligns with its core questions</w:t>
      </w:r>
    </w:p>
    <w:p w:rsidR="00000000" w:rsidDel="00000000" w:rsidP="00000000" w:rsidRDefault="00000000" w:rsidRPr="00000000" w14:paraId="0000000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Contemporary legal issues, such as data privacy variations across states, the enforcement of environmental regulations, and institutional bias, cannot be solved using a one-size-fits-all approach. These topics require a sophisticated understanding of multiple research methods. A legal researcher must know when to stick to a strict textual analysis, when to compare foreign laws, and when to conduct field interviews. Choosing the right methodology is essential for transforming basic legal observation into a persuasive, high-impact legal analysis.</w:t>
      </w:r>
    </w:p>
    <w:p w:rsidR="00000000" w:rsidDel="00000000" w:rsidP="00000000" w:rsidRDefault="00000000" w:rsidRPr="00000000" w14:paraId="0000000E">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THE CONCEPTUAL MEANING OF METHODOLOGY</w:t>
      </w:r>
    </w:p>
    <w:p w:rsidR="00000000" w:rsidDel="00000000" w:rsidP="00000000" w:rsidRDefault="00000000" w:rsidRPr="00000000" w14:paraId="0000000F">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Understanding the distinction between a "method" and a "methodology" is essential for producing high-quality legal scholarship. A method refers to the specific tool or technique used to gather data, such as reading a statutory provision, reviewing a judicial precedent, or conducting a structured interview with a litigant. Methodology, by contrast, is the overarching philosophical and systematic analysis of those methods.</w:t>
      </w:r>
    </w:p>
    <w:p w:rsidR="00000000" w:rsidDel="00000000" w:rsidP="00000000" w:rsidRDefault="00000000" w:rsidRPr="00000000" w14:paraId="00000010">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Methodology provides the structural reasoning that explains why a particular tool is suitable for a specific research question, how the data will be systematically analysed, and how the findings will create valid legal knowledge. It involves exploring the theory of knowledge—examining how we know what we know within a legal system—and ensures that the resulting conclusions are logical and authoritative. Without a rigorous methodology, legal research risks becoming a disorganised collection of facts, lacking the depth needed to influence policy or judicial thought.</w:t>
      </w:r>
    </w:p>
    <w:p w:rsidR="00000000" w:rsidDel="00000000" w:rsidP="00000000" w:rsidRDefault="00000000" w:rsidRPr="00000000" w14:paraId="00000011">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CORE LEGAL RESEARCH METHODOLOGIES</w:t>
      </w:r>
    </w:p>
    <w:p w:rsidR="00000000" w:rsidDel="00000000" w:rsidP="00000000" w:rsidRDefault="00000000" w:rsidRPr="00000000" w14:paraId="00000012">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landscape of legal scholarship is built upon three primary methodologies, each designed to address distinct types of legal questions and objectives:</w:t>
      </w:r>
    </w:p>
    <w:p w:rsidR="00000000" w:rsidDel="00000000" w:rsidP="00000000" w:rsidRDefault="00000000" w:rsidRPr="00000000" w14:paraId="00000013">
      <w:pPr>
        <w:spacing w:after="160" w:line="276" w:lineRule="auto"/>
        <w:ind w:firstLine="720"/>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A. Doctrinal Method (Internal/Pure Legal Research)</w:t>
      </w:r>
    </w:p>
    <w:p w:rsidR="00000000" w:rsidDel="00000000" w:rsidP="00000000" w:rsidRDefault="00000000" w:rsidRPr="00000000" w14:paraId="00000014">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Commonly referred to as "black-letter law" research or "research in law," the doctrinal method represents the traditional paradigm of legal analysis. This approach focuses strictly on materials located within the legal system itself, such as statutes, constitutional provisions, administrative rules, and judicial precedents. It aims to clarify what the law currently is on a given issue, resolve contradictions between competing court decisions, and map the internal logic of legal principles. While highly authoritative and indispensable for day-to-day legal practice, the doctrinal method operates in a vacuum, often ignoring how laws function in everyday life and overlooking underlying socio-economic biases.</w:t>
      </w:r>
    </w:p>
    <w:p w:rsidR="00000000" w:rsidDel="00000000" w:rsidP="00000000" w:rsidRDefault="00000000" w:rsidRPr="00000000" w14:paraId="00000015">
      <w:pPr>
        <w:spacing w:after="160" w:line="276" w:lineRule="auto"/>
        <w:ind w:firstLine="720"/>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B. Comparative Method</w:t>
      </w:r>
    </w:p>
    <w:p w:rsidR="00000000" w:rsidDel="00000000" w:rsidP="00000000" w:rsidRDefault="00000000" w:rsidRPr="00000000" w14:paraId="00000016">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comparative method involves the systematic study and evaluation of legal rules, doctrines, institutions, and systems across different jurisdictions. This can entail comparing diverse international legal traditions—such as English common law and French civil law—or analysing state-level regulatory differences regarding a single issue like data privacy. This methodology is highly valuable when drafting new legislation or harmonising transnational laws, as it allows researchers to learn from the successes and failures of other legal systems. However, it requires deep care; a researcher risks making superficial comparisons if they overlook the unique cultural, historical, and political contexts that shape foreign legal codes.</w:t>
      </w:r>
    </w:p>
    <w:p w:rsidR="00000000" w:rsidDel="00000000" w:rsidP="00000000" w:rsidRDefault="00000000" w:rsidRPr="00000000" w14:paraId="00000017">
      <w:pPr>
        <w:spacing w:after="160" w:line="276" w:lineRule="auto"/>
        <w:ind w:firstLine="720"/>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C. Empirical and Socio-Legal Method (External Research)</w:t>
      </w:r>
    </w:p>
    <w:p w:rsidR="00000000" w:rsidDel="00000000" w:rsidP="00000000" w:rsidRDefault="00000000" w:rsidRPr="00000000" w14:paraId="00000018">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Often described as "research about law," the socio-legal method uses qualitative and quantitative data to study how law operates in society. It focuses directly on the gap between "law on the books" and "law in action." For instance, rather than merely analysing the text of a domestic violence statute, an empirical study might collect data to measure whether the statute successfully reduced crime rates or if systemic enforcement failures undermined its purpose. While this method provides hard, real-world evidence of institutional bias and policy efficacy, it is highly resource-intensive and requires specialised training in statistics, sociology, and fieldwork.</w:t>
      </w:r>
    </w:p>
    <w:p w:rsidR="00000000" w:rsidDel="00000000" w:rsidP="00000000" w:rsidRDefault="00000000" w:rsidRPr="00000000" w14:paraId="00000019">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A">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B">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ANALYTICAL AND HISTORICAL APPROACHES</w:t>
      </w:r>
    </w:p>
    <w:p w:rsidR="00000000" w:rsidDel="00000000" w:rsidP="00000000" w:rsidRDefault="00000000" w:rsidRPr="00000000" w14:paraId="0000001C">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complement these primary methodologies, legal researchers often employ specific analytical lenses to deepen their structural and context-driven inquiries:</w:t>
      </w:r>
    </w:p>
    <w:p w:rsidR="00000000" w:rsidDel="00000000" w:rsidP="00000000" w:rsidRDefault="00000000" w:rsidRPr="00000000" w14:paraId="0000001D">
      <w:pPr>
        <w:numPr>
          <w:ilvl w:val="0"/>
          <w:numId w:val="1"/>
        </w:numPr>
        <w:spacing w:after="160" w:line="276" w:lineRule="auto"/>
        <w:ind w:left="720" w:hanging="360"/>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The Analytical Approach</w:t>
      </w:r>
    </w:p>
    <w:p w:rsidR="00000000" w:rsidDel="00000000" w:rsidP="00000000" w:rsidRDefault="00000000" w:rsidRPr="00000000" w14:paraId="0000001E">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analytical approach breaks down complex legal concepts into their parts to examine their internal logic, consistency, and structural integrity. Instead of looking at external social facts, it deconstructs foundational legal terms—such as "negligence," "property," or "liability"—to verify that their definitions are precise and free of internal contradictions. This approach provides excellent conceptual clarity, but it can easily become overly abstract and disconnected from practical legal realities if used in isolation.</w:t>
      </w:r>
    </w:p>
    <w:p w:rsidR="00000000" w:rsidDel="00000000" w:rsidP="00000000" w:rsidRDefault="00000000" w:rsidRPr="00000000" w14:paraId="0000001F">
      <w:pPr>
        <w:numPr>
          <w:ilvl w:val="0"/>
          <w:numId w:val="1"/>
        </w:numPr>
        <w:spacing w:after="160" w:line="276" w:lineRule="auto"/>
        <w:ind w:left="720" w:hanging="360"/>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The Historical Approach</w:t>
      </w:r>
    </w:p>
    <w:p w:rsidR="00000000" w:rsidDel="00000000" w:rsidP="00000000" w:rsidRDefault="00000000" w:rsidRPr="00000000" w14:paraId="00000020">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historical approach studies the origin, development, and evolution of legal rules and institutions over time. It looks closely at why a specific law was created at a particular point in history, helping modern practitioners interpret statutes based on original legislative intent and historical legal traditions. By tracing the genealogy of an archaic rule, the historical approach prevents current policy-makers from repeating past legislative errors. However, an over-reliance on this perspective can lead to a conservative legal outlook that resists necessary modern updates in favour of tradition.</w:t>
      </w:r>
    </w:p>
    <w:p w:rsidR="00000000" w:rsidDel="00000000" w:rsidP="00000000" w:rsidRDefault="00000000" w:rsidRPr="00000000" w14:paraId="00000021">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COMBINING METHODS: MIXED-METHOD APPROACHES </w:t>
      </w:r>
    </w:p>
    <w:p w:rsidR="00000000" w:rsidDel="00000000" w:rsidP="00000000" w:rsidRDefault="00000000" w:rsidRPr="00000000" w14:paraId="00000022">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Modern legal scholarship increasingly uses mixed-method approaches to provide complete answers to complex research questions. Relying on a single method can limit the scope of an inquiry, whereas combining methods allows a researcher to offset individual limitations and build a more persuasive argument for law reform. </w:t>
      </w:r>
    </w:p>
    <w:p w:rsidR="00000000" w:rsidDel="00000000" w:rsidP="00000000" w:rsidRDefault="00000000" w:rsidRPr="00000000" w14:paraId="00000023">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example, a comprehensive study of a new environmental regulation might integrate three distinct layers of analysis: </w:t>
      </w:r>
    </w:p>
    <w:p w:rsidR="00000000" w:rsidDel="00000000" w:rsidP="00000000" w:rsidRDefault="00000000" w:rsidRPr="00000000" w14:paraId="00000024">
      <w:pPr>
        <w:numPr>
          <w:ilvl w:val="0"/>
          <w:numId w:val="1"/>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Doctrinal Analysis: Used first to examine the exact statutory powers and enforcement limits granted to regulatory inspectors by the text.</w:t>
      </w:r>
    </w:p>
    <w:p w:rsidR="00000000" w:rsidDel="00000000" w:rsidP="00000000" w:rsidRDefault="00000000" w:rsidRPr="00000000" w14:paraId="00000025">
      <w:pPr>
        <w:numPr>
          <w:ilvl w:val="0"/>
          <w:numId w:val="1"/>
        </w:numPr>
        <w:spacing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Analysis: Deployed to study how similar environmental standards have been implemented and managed in other jurisdictions, such as Germany.</w:t>
      </w:r>
    </w:p>
    <w:p w:rsidR="00000000" w:rsidDel="00000000" w:rsidP="00000000" w:rsidRDefault="00000000" w:rsidRPr="00000000" w14:paraId="00000026">
      <w:pPr>
        <w:numPr>
          <w:ilvl w:val="0"/>
          <w:numId w:val="1"/>
        </w:numPr>
        <w:spacing w:after="16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Analysis: Used to survey and interview local factory owners regarding their actual compliance rates, financial costs, and operational challenges.</w:t>
      </w:r>
    </w:p>
    <w:p w:rsidR="00000000" w:rsidDel="00000000" w:rsidP="00000000" w:rsidRDefault="00000000" w:rsidRPr="00000000" w14:paraId="00000027">
      <w:pPr>
        <w:spacing w:after="160" w:line="276" w:lineRule="auto"/>
        <w:ind w:left="0"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By combining these approaches, the researcher can back up theoretical legal findings with hard real-world data, making the resulting policy recommendations far more convincing to legislators, judges, and administrative officials.</w:t>
      </w:r>
    </w:p>
    <w:p w:rsidR="00000000" w:rsidDel="00000000" w:rsidP="00000000" w:rsidRDefault="00000000" w:rsidRPr="00000000" w14:paraId="00000028">
      <w:pPr>
        <w:spacing w:after="160" w:line="276" w:lineRule="auto"/>
        <w:ind w:left="0" w:firstLine="0"/>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SOURCE SELECTION IN LEGAL RESEARCH</w:t>
      </w:r>
    </w:p>
    <w:p w:rsidR="00000000" w:rsidDel="00000000" w:rsidP="00000000" w:rsidRDefault="00000000" w:rsidRPr="00000000" w14:paraId="00000029">
      <w:pPr>
        <w:spacing w:after="160" w:line="276" w:lineRule="auto"/>
        <w:ind w:left="0"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integrity of legal research depends heavily on the careful categorisation and selection of information sources. Legal data is divided into three distinct categories:</w:t>
      </w:r>
    </w:p>
    <w:p w:rsidR="00000000" w:rsidDel="00000000" w:rsidP="00000000" w:rsidRDefault="00000000" w:rsidRPr="00000000" w14:paraId="0000002A">
      <w:pPr>
        <w:numPr>
          <w:ilvl w:val="0"/>
          <w:numId w:val="2"/>
        </w:numPr>
        <w:spacing w:after="16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Primary Legal Sources</w:t>
      </w:r>
    </w:p>
    <w:p w:rsidR="00000000" w:rsidDel="00000000" w:rsidP="00000000" w:rsidRDefault="00000000" w:rsidRPr="00000000" w14:paraId="0000002B">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Primary sources are official statements of law issued directly by the branches of government. These constitute the binding and persuasive authorities of a legal system and include constitutions, legislative statutes, administrative regulations, and judicial precedents (case law). Accurate doctrinal research must always begin with and prioritise these authoritative texts.</w:t>
      </w:r>
    </w:p>
    <w:p w:rsidR="00000000" w:rsidDel="00000000" w:rsidP="00000000" w:rsidRDefault="00000000" w:rsidRPr="00000000" w14:paraId="0000002C">
      <w:pPr>
        <w:numPr>
          <w:ilvl w:val="0"/>
          <w:numId w:val="2"/>
        </w:numPr>
        <w:spacing w:after="16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Secondary Legal Sources</w:t>
      </w:r>
    </w:p>
    <w:p w:rsidR="00000000" w:rsidDel="00000000" w:rsidP="00000000" w:rsidRDefault="00000000" w:rsidRPr="00000000" w14:paraId="0000002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Secondary sources consist of materials that explain, analyse, critique, or discuss primary law. Examples include law review articles, legal treatises, authoritative textbooks, legal encyclopaedias, and Law Reform Commission reports. These sources are invaluable for locating relevant primary law, identifying gaps in current legal theory, and understanding broader trends in legal academic commentary.</w:t>
      </w:r>
    </w:p>
    <w:p w:rsidR="00000000" w:rsidDel="00000000" w:rsidP="00000000" w:rsidRDefault="00000000" w:rsidRPr="00000000" w14:paraId="0000002E">
      <w:pPr>
        <w:numPr>
          <w:ilvl w:val="0"/>
          <w:numId w:val="2"/>
        </w:numPr>
        <w:spacing w:after="16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Sources</w:t>
      </w:r>
    </w:p>
    <w:p w:rsidR="00000000" w:rsidDel="00000000" w:rsidP="00000000" w:rsidRDefault="00000000" w:rsidRPr="00000000" w14:paraId="0000002F">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sources consist of raw, factual data gathered from outside traditional legal library texts. These include survey responses, qualitative interview transcripts, official court data statistics, and demographic records. These sources serve as the raw material for external socio-legal studies, providing evidence of how laws affect human behaviour and institutional operations.</w:t>
      </w:r>
    </w:p>
    <w:p w:rsidR="00000000" w:rsidDel="00000000" w:rsidP="00000000" w:rsidRDefault="00000000" w:rsidRPr="00000000" w14:paraId="00000030">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EMPIRICAL WORK: ETHICS, DATA COLLECTION, SURVEYS, AND INTERVIEWS</w:t>
      </w:r>
    </w:p>
    <w:p w:rsidR="00000000" w:rsidDel="00000000" w:rsidP="00000000" w:rsidRDefault="00000000" w:rsidRPr="00000000" w14:paraId="00000031">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When legal research moves out of the library and involves human subjects, it must follow strict empirical and ethical standards to ensure safety, validity, and professional responsibility.</w:t>
      </w:r>
    </w:p>
    <w:p w:rsidR="00000000" w:rsidDel="00000000" w:rsidP="00000000" w:rsidRDefault="00000000" w:rsidRPr="00000000" w14:paraId="00000032">
      <w:pPr>
        <w:numPr>
          <w:ilvl w:val="0"/>
          <w:numId w:val="2"/>
        </w:numPr>
        <w:spacing w:after="16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Ethical Concerns</w:t>
      </w:r>
    </w:p>
    <w:p w:rsidR="00000000" w:rsidDel="00000000" w:rsidP="00000000" w:rsidRDefault="00000000" w:rsidRPr="00000000" w14:paraId="00000033">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-Institutional Review Board (IRB) Approval: Researchers must secure formal clearance from an IRB before beginning any study involving human participants.</w:t>
      </w:r>
    </w:p>
    <w:p w:rsidR="00000000" w:rsidDel="00000000" w:rsidP="00000000" w:rsidRDefault="00000000" w:rsidRPr="00000000" w14:paraId="00000034">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-Informed Consent: Participants must fully understand the scope, purpose, methods, and potential risks of the research, giving their explicit consent before being questioned.</w:t>
      </w:r>
    </w:p>
    <w:p w:rsidR="00000000" w:rsidDel="00000000" w:rsidP="00000000" w:rsidRDefault="00000000" w:rsidRPr="00000000" w14:paraId="00000035">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-Anonymity &amp; Confidentiality: This is critical in legal research where participants—such as judges, attorneys, victims, or undocumented migrants—could face professional retaliation or legal risks if their identities are compromised.</w:t>
      </w:r>
    </w:p>
    <w:p w:rsidR="00000000" w:rsidDel="00000000" w:rsidP="00000000" w:rsidRDefault="00000000" w:rsidRPr="00000000" w14:paraId="00000036">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-Vulnerability Frameworks: Researchers must use extreme care when gathering data from marginalised populations, institutionalised individuals, or crime survivors to prevent re-traumatisation.</w:t>
      </w:r>
    </w:p>
    <w:p w:rsidR="00000000" w:rsidDel="00000000" w:rsidP="00000000" w:rsidRDefault="00000000" w:rsidRPr="00000000" w14:paraId="00000037">
      <w:pPr>
        <w:numPr>
          <w:ilvl w:val="0"/>
          <w:numId w:val="2"/>
        </w:numPr>
        <w:spacing w:after="160" w:line="276" w:lineRule="auto"/>
        <w:ind w:left="720" w:hanging="36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Data Collection Basics: Interviews vs. Surveys</w:t>
      </w:r>
    </w:p>
    <w:p w:rsidR="00000000" w:rsidDel="00000000" w:rsidP="00000000" w:rsidRDefault="00000000" w:rsidRPr="00000000" w14:paraId="00000038">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-Qualitative Interviews: This technique is ideal for gathering deep, nuanced insights from legal experts, policy-makers, or litigants. Interviews can be structured (following a set list of questions), semi-structured (combining a set guide with room for conversational exploration), or unstructured.</w:t>
      </w:r>
    </w:p>
    <w:p w:rsidR="00000000" w:rsidDel="00000000" w:rsidP="00000000" w:rsidRDefault="00000000" w:rsidRPr="00000000" w14:paraId="00000039">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-Quantitative Surveys: This approach is designed to collect broad, generalised data from a larger population sample—such as surveying 500 defence attorneys to measure court delays. It relies on closed-ended, easily quantifiable questions to identify statistical trends.</w:t>
      </w:r>
    </w:p>
    <w:p w:rsidR="00000000" w:rsidDel="00000000" w:rsidP="00000000" w:rsidRDefault="00000000" w:rsidRPr="00000000" w14:paraId="0000003A">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JUDICIAL AND SCHOLARLY APPROACH TOWARDS METHODOLOGY</w:t>
      </w:r>
    </w:p>
    <w:p w:rsidR="00000000" w:rsidDel="00000000" w:rsidP="00000000" w:rsidRDefault="00000000" w:rsidRPr="00000000" w14:paraId="0000003B">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judiciary and the legal academia have transformed how legal research methodology is viewed and applied. Constitutional courts and major legal research institutes have long recognised that a purely mechanical interpretation of statutory text is insufficient for a dynamic legal system.</w:t>
      </w:r>
    </w:p>
    <w:p w:rsidR="00000000" w:rsidDel="00000000" w:rsidP="00000000" w:rsidRDefault="00000000" w:rsidRPr="00000000" w14:paraId="0000003C">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Courts frequently adopt a beneficial and purposive approach to interpretation, noting that statutes must be read in harmony with constitutional values and social realities. Scholars have consistently shown that when analysing public interest issues, environmental protections, or systemic discrimination, legal research must move past formalistic statutory reading. Instead, research should treat the law as an active tool for social justice and institutional accountability. This perspective encourages researchers to view legal rules not as isolated texts, but as living principles meant to protect human dignity and equality.</w:t>
      </w:r>
    </w:p>
    <w:p w:rsidR="00000000" w:rsidDel="00000000" w:rsidP="00000000" w:rsidRDefault="00000000" w:rsidRPr="00000000" w14:paraId="0000003D">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PRACTICAL ISSUES IN LEGAL RESEARCH</w:t>
      </w:r>
    </w:p>
    <w:p w:rsidR="00000000" w:rsidDel="00000000" w:rsidP="00000000" w:rsidRDefault="00000000" w:rsidRPr="00000000" w14:paraId="0000003E">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While legal methodologies look clear on paper, executing them in practice presents several distinct challenges that require careful problem-solving.</w:t>
      </w:r>
    </w:p>
    <w:p w:rsidR="00000000" w:rsidDel="00000000" w:rsidP="00000000" w:rsidRDefault="00000000" w:rsidRPr="00000000" w14:paraId="0000003F">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major obstacle in empirical and doctrinal research is establishing the exact boundaries of a legal concept or verifying an institutional relationship. In studies involving informal sectors, custom-based rules, or administrative actions, formal documentation like written contracts or official letters may not exist. Researchers must carefully analyse circumstantial evidence—such as internal emails, bank records, and consistent institutional habits—to map out how the law is actually being applied.</w:t>
      </w:r>
    </w:p>
    <w:p w:rsidR="00000000" w:rsidDel="00000000" w:rsidP="00000000" w:rsidRDefault="00000000" w:rsidRPr="00000000" w14:paraId="00000040">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Maintaining and accessing records also poses a recurring problem. Public institutions and private entities often fail to keep uniform data, or they may restrict access to sensitive regulatory records. As a result, what should be a straightforward analysis can become a complicated effort to gather missing information, where researchers must rely on adverse inferences or freedom-of-information requests.</w:t>
      </w:r>
    </w:p>
    <w:p w:rsidR="00000000" w:rsidDel="00000000" w:rsidP="00000000" w:rsidRDefault="00000000" w:rsidRPr="00000000" w14:paraId="00000041">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Finally, systemic delays in court systems and administrative bodies create practical difficulties. Because legal disputes and policy changes can take years to resolve, tracking a legal issue in real-time can be difficult. Researchers must account for these delays and use modern data tools, such as digital court registries and biometric tracking data, to ensure their findings are timely and accurate.</w:t>
      </w:r>
    </w:p>
    <w:p w:rsidR="00000000" w:rsidDel="00000000" w:rsidP="00000000" w:rsidRDefault="00000000" w:rsidRPr="00000000" w14:paraId="00000042">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ILLUSTRATIVE EXAMPLE —</w:t>
      </w:r>
    </w:p>
    <w:p w:rsidR="00000000" w:rsidDel="00000000" w:rsidP="00000000" w:rsidRDefault="00000000" w:rsidRPr="00000000" w14:paraId="00000043">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THE LABOUR CODES: A CRITICAL EVALUATION</w:t>
      </w:r>
    </w:p>
    <w:p w:rsidR="00000000" w:rsidDel="00000000" w:rsidP="00000000" w:rsidRDefault="00000000" w:rsidRPr="00000000" w14:paraId="00000044">
      <w:pPr>
        <w:spacing w:after="160" w:line="276" w:lineRule="auto"/>
        <w:jc w:val="both"/>
        <w:rPr>
          <w:rFonts w:ascii="Georgia" w:cs="Georgia" w:eastAsia="Georgia" w:hAnsi="Georgia"/>
          <w:b w:val="1"/>
          <w:bCs w:val="1"/>
          <w:i w:val="1"/>
          <w:iCs w:val="1"/>
        </w:rPr>
      </w:pPr>
      <w:r w:rsidDel="00000000" w:rsidR="00000000" w:rsidRPr="00000000">
        <w:rPr>
          <w:rFonts w:ascii="Georgia" w:cs="Georgia" w:eastAsia="Georgia" w:hAnsi="Georgia"/>
          <w:b w:val="1"/>
          <w:bCs w:val="1"/>
          <w:i w:val="1"/>
          <w:iCs w:val="1"/>
          <w:rtl w:val="0"/>
        </w:rPr>
        <w:t xml:space="preserve">Note: This section demonstrates a practical application of legal research methodology by using multiple research approaches to analyse a major statutory shift—the consolidation of twenty-nine separate labour enactments into four simplified codes (Wages, Industrial Relations; Occupational Safety; and Social Security).</w:t>
      </w:r>
    </w:p>
    <w:p w:rsidR="00000000" w:rsidDel="00000000" w:rsidP="00000000" w:rsidRDefault="00000000" w:rsidRPr="00000000" w14:paraId="00000045">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rigorous doctrinal analysis reveals that this consolidation significantly improves internal legal consistency. It standardises key definitions across statutes, reducing interpretation conflicts and simplifying compliance tracking for organisations.</w:t>
      </w:r>
    </w:p>
    <w:p w:rsidR="00000000" w:rsidDel="00000000" w:rsidP="00000000" w:rsidRDefault="00000000" w:rsidRPr="00000000" w14:paraId="00000046">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However, applying an empirical and socio-legal lens reveals a distinct gap between the text of these codes and the realities of the labour market. While the text introduces progressive updates—such as extending social security frameworks to include gig and platform workers—field data reveals significant implementation challenges regarding rule-making, enforcement capacity, and low awareness among vulnerable workers.</w:t>
      </w:r>
    </w:p>
    <w:p w:rsidR="00000000" w:rsidDel="00000000" w:rsidP="00000000" w:rsidRDefault="00000000" w:rsidRPr="00000000" w14:paraId="00000047">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Furthermore, a comparative analysis shows that while alternative jurisdictions (such as the United Kingdom) use specialised tribunals to balance worker security with market flexibility, the updated codes lean toward a market-oriented approach. Critics note this choice may weaken collective bargaining and reduce long-standing protections against retrenchment. This case study demonstrates that a mixed-method research design is essential: a purely doctrinal review would praise the statutory simplification, but an empirical and comparative inquiry reveals the practical challenges that policy-makers must address to ensure the laws work effectively.</w:t>
      </w:r>
    </w:p>
    <w:p w:rsidR="00000000" w:rsidDel="00000000" w:rsidP="00000000" w:rsidRDefault="00000000" w:rsidRPr="00000000" w14:paraId="00000048">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CRITICAL ANALYSIS OF LEGAL METHODOLOGIES: PROMISES AND CONCERNS</w:t>
      </w:r>
    </w:p>
    <w:p w:rsidR="00000000" w:rsidDel="00000000" w:rsidP="00000000" w:rsidRDefault="00000000" w:rsidRPr="00000000" w14:paraId="00000049">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ongoing development of legal research methodologies offers clear benefits for modern legal analysis, but it also raises important academic concerns. On the positive side, adopting empirical and comparative tools has made legal scholarship much more relevant to public policy. It has rescued legal writing from being overly formalistic, encouraging researchers to produce actionable, evidence-based recommendations that judges and legislators can use.</w:t>
      </w:r>
    </w:p>
    <w:p w:rsidR="00000000" w:rsidDel="00000000" w:rsidP="00000000" w:rsidRDefault="00000000" w:rsidRPr="00000000" w14:paraId="0000004A">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However, this shift has also caused concern within the legal academy. Some scholars worry that an overemphasis on empirical data can dilute the core of legal training, transforming legal studies into a branch of quantitative sociology or economics while neglecting traditional skills like careful case analysis and statutory interpretation.</w:t>
      </w:r>
    </w:p>
    <w:p w:rsidR="00000000" w:rsidDel="00000000" w:rsidP="00000000" w:rsidRDefault="00000000" w:rsidRPr="00000000" w14:paraId="0000004B">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Furthermore, interdisciplinary research carries the risk of superficiality; a researcher without proper training in statistics or sociology can easily misinterpret data or draw flawed conclusions. Therefore, the goal of modern legal education is to balance these approaches, ensuring that researchers maintain strong skills in black-letter law analysis while safely and accurately using empirical tools.</w:t>
      </w:r>
    </w:p>
    <w:p w:rsidR="00000000" w:rsidDel="00000000" w:rsidP="00000000" w:rsidRDefault="00000000" w:rsidRPr="00000000" w14:paraId="0000004C">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COMPARATIVE PERSPECTIVE: METHODOLOGICAL ADAPTATIONS ACROSS JURISDICTIONS</w:t>
      </w:r>
    </w:p>
    <w:p w:rsidR="00000000" w:rsidDel="00000000" w:rsidP="00000000" w:rsidRDefault="00000000" w:rsidRPr="00000000" w14:paraId="0000004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choice and development of legal research methodologies vary significantly across international jurisdictions, reflecting each region's unique historical and constitutional traditions.</w:t>
      </w:r>
    </w:p>
    <w:p w:rsidR="00000000" w:rsidDel="00000000" w:rsidP="00000000" w:rsidRDefault="00000000" w:rsidRPr="00000000" w14:paraId="0000004E">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the United Kingdom, legal research has traditionally centred on a strong doctrinal foundation, given the historical importance of common law precedents and judicial decisions. However, the UK system has also integrated a highly structured empirical framework through specialised tribunals, where researchers regularly analyse case data to assess workplace discrimination and unfair dismissals.</w:t>
      </w:r>
    </w:p>
    <w:p w:rsidR="00000000" w:rsidDel="00000000" w:rsidP="00000000" w:rsidRDefault="00000000" w:rsidRPr="00000000" w14:paraId="0000004F">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the United States, legal scholarship takes a highly interdisciplinary approach. US law schools routinely blend traditional doctrinal research with external fields, giving rise to influential movements like "Law and Economics" and empirical legal studies. Because the US system relies on a market-oriented legal framework, researchers frequently use quantitative data to measure the financial impact of court decisions and regulatory updates.</w:t>
      </w:r>
    </w:p>
    <w:p w:rsidR="00000000" w:rsidDel="00000000" w:rsidP="00000000" w:rsidRDefault="00000000" w:rsidRPr="00000000" w14:paraId="00000050">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India occupies a unique position by combining an extensive common law framework with a constitutional commitment to social justice. As a result, Indian legal methodology is deeply influenced by the Directive Principles of State Policy. Legal research in India frequently uses a welfare-oriented lens, where traditional doctrinal analysis is evaluated against constitutional goals like human dignity, equality, and the eradication of systemic bias.</w:t>
      </w:r>
    </w:p>
    <w:p w:rsidR="00000000" w:rsidDel="00000000" w:rsidP="00000000" w:rsidRDefault="00000000" w:rsidRPr="00000000" w14:paraId="00000051">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EMERGING CHALLENGES AND THE FUTURE OF LEGAL RESEARCH</w:t>
      </w:r>
    </w:p>
    <w:p w:rsidR="00000000" w:rsidDel="00000000" w:rsidP="00000000" w:rsidRDefault="00000000" w:rsidRPr="00000000" w14:paraId="00000052">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future of legal research methodology will be shaped by rapid technological advances, global integration, and shifting professional standards. The rise of artificial intelligence, automated legal analytics, and large digital legal databases has completely changed traditional data gathering, allowing researchers to analyse thousands of statutes and judicial decisions instantly.</w:t>
      </w:r>
    </w:p>
    <w:p w:rsidR="00000000" w:rsidDel="00000000" w:rsidP="00000000" w:rsidRDefault="00000000" w:rsidRPr="00000000" w14:paraId="00000053">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However, these technological tools also create new methodological challenges. Researchers must now learn to critically evaluate algorithmic tools, identify biases in automated legal databases, and address complex data privacy concerns. The rise of remote work, global digital platforms, and automated contracts has blurred traditional geographic boundaries, requiring researchers to develop more sophisticated comparative and transnational research designs.</w:t>
      </w:r>
    </w:p>
    <w:p w:rsidR="00000000" w:rsidDel="00000000" w:rsidP="00000000" w:rsidRDefault="00000000" w:rsidRPr="00000000" w14:paraId="00000054">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Additionally, modern legal research must adapt to track how laws affect fast-changing digital environments and climate-related regulatory updates. The future of legal scholarship belongs to researchers who can maintain high ethical and logical standards while using new data tools to address these complex, interconnected global issues.</w:t>
      </w:r>
    </w:p>
    <w:p w:rsidR="00000000" w:rsidDel="00000000" w:rsidP="00000000" w:rsidRDefault="00000000" w:rsidRPr="00000000" w14:paraId="00000055">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CONCLUSION</w:t>
      </w:r>
    </w:p>
    <w:p w:rsidR="00000000" w:rsidDel="00000000" w:rsidP="00000000" w:rsidRDefault="00000000" w:rsidRPr="00000000" w14:paraId="00000056">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methodology is far more than an academic requirement; it is an essential framework for ensuring that legal analysis is accurate, reliable, and socially useful. From the precise statutory interpretation provided by doctrinal research to the real-world insights gathered through empirical field studies, the choice of methodology dictates how effectively a researcher can understand and improve a legal system.</w:t>
      </w:r>
    </w:p>
    <w:p w:rsidR="00000000" w:rsidDel="00000000" w:rsidP="00000000" w:rsidRDefault="00000000" w:rsidRPr="00000000" w14:paraId="00000057">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 legal landscapes become more complex, relying on a single research tool is often insufficient. The evolution of legal scholarship shows a clear trend toward mixed-method designs that combine the logical rigour of traditional legal analysis with the real-world evidence of socio-legal studies. This balance ensures that legal writing is both theoretically sound and practically useful for institutional reform.</w:t>
      </w:r>
    </w:p>
    <w:p w:rsidR="00000000" w:rsidDel="00000000" w:rsidP="00000000" w:rsidRDefault="00000000" w:rsidRPr="00000000" w14:paraId="00000058">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the value of any research methodology lies in its ability to translate complex legal data into clear, valid knowledge. By maintaining high technical and ethical standards, choosing the right analytical tools, and focusing on both the text of the law and its practical impact, legal researchers can continue to provide the insights needed to support justice, efficiency, and human dignity in a changing world.</w:t>
      </w:r>
    </w:p>
    <w:p w:rsidR="00000000" w:rsidDel="00000000" w:rsidP="00000000" w:rsidRDefault="00000000" w:rsidRPr="00000000" w14:paraId="00000059">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FREQUENTLY ASKED QUESTIONS (FAQs)</w:t>
      </w:r>
    </w:p>
    <w:p w:rsidR="00000000" w:rsidDel="00000000" w:rsidP="00000000" w:rsidRDefault="00000000" w:rsidRPr="00000000" w14:paraId="0000005A">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Q1. What is the difference between a research method and a methodology?</w:t>
      </w:r>
    </w:p>
    <w:p w:rsidR="00000000" w:rsidDel="00000000" w:rsidP="00000000" w:rsidRDefault="00000000" w:rsidRPr="00000000" w14:paraId="0000005B">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method is the specific tool used to collect data, such as reading a statute or conducting an interview. Methodology is the systematic, theoretical analysis of those methods, justifying why they are used and explaining how the data will be analysed.</w:t>
      </w:r>
    </w:p>
    <w:p w:rsidR="00000000" w:rsidDel="00000000" w:rsidP="00000000" w:rsidRDefault="00000000" w:rsidRPr="00000000" w14:paraId="0000005C">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Q2. What is doctrinal legal research?</w:t>
      </w:r>
    </w:p>
    <w:p w:rsidR="00000000" w:rsidDel="00000000" w:rsidP="00000000" w:rsidRDefault="00000000" w:rsidRPr="00000000" w14:paraId="0000005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Doctrinal research, or "black-letter law" research, focuses on analysing legal texts located within the legal system, such as statutes, regulations, and judicial precedents, to determine what the law currently is.</w:t>
      </w:r>
    </w:p>
    <w:p w:rsidR="00000000" w:rsidDel="00000000" w:rsidP="00000000" w:rsidRDefault="00000000" w:rsidRPr="00000000" w14:paraId="0000005E">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Q3. When should a researcher use the empirical or socio-legal method?</w:t>
      </w:r>
    </w:p>
    <w:p w:rsidR="00000000" w:rsidDel="00000000" w:rsidP="00000000" w:rsidRDefault="00000000" w:rsidRPr="00000000" w14:paraId="0000005F">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method should be used when exploring how laws function in everyday life, measuring public compliance, assessing policy success, or examining the gap between "law on the books" and "law in action."</w:t>
      </w:r>
    </w:p>
    <w:p w:rsidR="00000000" w:rsidDel="00000000" w:rsidP="00000000" w:rsidRDefault="00000000" w:rsidRPr="00000000" w14:paraId="00000060">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Q4. What are the main limitations of the comparative method?</w:t>
      </w:r>
    </w:p>
    <w:p w:rsidR="00000000" w:rsidDel="00000000" w:rsidP="00000000" w:rsidRDefault="00000000" w:rsidRPr="00000000" w14:paraId="00000061">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major limitation is the risk of making superficial comparisons if the researcher fails to understand the unique cultural, historical, political, and social contexts of the foreign jurisdictions being studied.</w:t>
      </w:r>
    </w:p>
    <w:p w:rsidR="00000000" w:rsidDel="00000000" w:rsidP="00000000" w:rsidRDefault="00000000" w:rsidRPr="00000000" w14:paraId="00000062">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Q5. What is a mixed-method research design in legal scholarship?</w:t>
      </w:r>
    </w:p>
    <w:p w:rsidR="00000000" w:rsidDel="00000000" w:rsidP="00000000" w:rsidRDefault="00000000" w:rsidRPr="00000000" w14:paraId="00000063">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mixed-method design combines multiple research methodologies—such as using doctrinal analysis to study statutory text, comparative analysis to look at foreign laws, and empirical surveys to measure real-world impact—to provide a complete answer to a research question.</w:t>
      </w:r>
    </w:p>
    <w:p w:rsidR="00000000" w:rsidDel="00000000" w:rsidP="00000000" w:rsidRDefault="00000000" w:rsidRPr="00000000" w14:paraId="00000064">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Q6. What constitutes a primary source in legal research?</w:t>
      </w:r>
    </w:p>
    <w:p w:rsidR="00000000" w:rsidDel="00000000" w:rsidP="00000000" w:rsidRDefault="00000000" w:rsidRPr="00000000" w14:paraId="00000065">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Primary sources are official, binding statements of law issued by government branches, including constitutions, statutory laws, administrative regulations, and case law precedents.</w:t>
      </w:r>
    </w:p>
    <w:p w:rsidR="00000000" w:rsidDel="00000000" w:rsidP="00000000" w:rsidRDefault="00000000" w:rsidRPr="00000000" w14:paraId="00000066">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Q7. What are secondary legal sources used for?</w:t>
      </w:r>
    </w:p>
    <w:p w:rsidR="00000000" w:rsidDel="00000000" w:rsidP="00000000" w:rsidRDefault="00000000" w:rsidRPr="00000000" w14:paraId="00000067">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Secondary sources—such as law review articles, treatises, and textbooks—are used to explain, critique, and analyse primary laws, helping researchers locate relevant cases and identify gaps in current legal theory.</w:t>
      </w:r>
    </w:p>
    <w:p w:rsidR="00000000" w:rsidDel="00000000" w:rsidP="00000000" w:rsidRDefault="00000000" w:rsidRPr="00000000" w14:paraId="00000068">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Q8. Why is IRB approval necessary for empirical legal research?</w:t>
      </w:r>
    </w:p>
    <w:p w:rsidR="00000000" w:rsidDel="00000000" w:rsidP="00000000" w:rsidRDefault="00000000" w:rsidRPr="00000000" w14:paraId="00000069">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Institutional Review Board (IRB) approval is mandatory when a study involves human participants to ensure the research design follows strict ethical standards, protects human subjects, and avoids causing harm.</w:t>
      </w:r>
    </w:p>
    <w:p w:rsidR="00000000" w:rsidDel="00000000" w:rsidP="00000000" w:rsidRDefault="00000000" w:rsidRPr="00000000" w14:paraId="0000006A">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Q9. How do analytical and historical approaches differ?</w:t>
      </w:r>
    </w:p>
    <w:p w:rsidR="00000000" w:rsidDel="00000000" w:rsidP="00000000" w:rsidRDefault="00000000" w:rsidRPr="00000000" w14:paraId="0000006B">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analytical approach breaks down legal concepts to examine their internal logic and clarity, while the historical approach tracks the origins and evolution of laws over time to understand past legislative intent.</w:t>
      </w:r>
    </w:p>
    <w:p w:rsidR="00000000" w:rsidDel="00000000" w:rsidP="00000000" w:rsidRDefault="00000000" w:rsidRPr="00000000" w14:paraId="0000006C">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Q10. Why is confidentiality critical when interviewing legal subjects?</w:t>
      </w:r>
    </w:p>
    <w:p w:rsidR="00000000" w:rsidDel="00000000" w:rsidP="00000000" w:rsidRDefault="00000000" w:rsidRPr="00000000" w14:paraId="0000006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Confidentiality is vital because participants—such as lawyers, victims, judges, or marginalised individuals—could face professional retaliation, social stigma, or legal risks if their identities are revealed</w:t>
      </w:r>
    </w:p>
    <w:p w:rsidR="00000000" w:rsidDel="00000000" w:rsidP="00000000" w:rsidRDefault="00000000" w:rsidRPr="00000000" w14:paraId="0000006E">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F">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0">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1">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2">
      <w:pPr>
        <w:spacing w:line="276" w:lineRule="auto"/>
        <w:jc w:val="both"/>
        <w:rPr>
          <w:rFonts w:ascii="Georgia" w:cs="Georgia" w:eastAsia="Georgia" w:hAnsi="Georgia"/>
          <w:b w:val="1"/>
          <w:bCs w:val="1"/>
          <w:color w:val="3d85c6"/>
          <w:sz w:val="26"/>
          <w:szCs w:val="26"/>
        </w:rPr>
      </w:pPr>
      <w:r w:rsidDel="00000000" w:rsidR="00000000" w:rsidRPr="00000000">
        <w:rPr>
          <w:rFonts w:ascii="Georgia" w:cs="Georgia" w:eastAsia="Georgia" w:hAnsi="Georgia"/>
          <w:b w:val="1"/>
          <w:bCs w:val="1"/>
          <w:color w:val="3d85c6"/>
          <w:sz w:val="26"/>
          <w:szCs w:val="26"/>
          <w:rtl w:val="0"/>
        </w:rPr>
        <w:t xml:space="preserve">Cross-Country Comparison in Comparative Legal Research</w:t>
      </w:r>
    </w:p>
    <w:p w:rsidR="00000000" w:rsidDel="00000000" w:rsidP="00000000" w:rsidRDefault="00000000" w:rsidRPr="00000000" w14:paraId="00000073">
      <w:pPr>
        <w:spacing w:line="276" w:lineRule="auto"/>
        <w:jc w:val="both"/>
        <w:rPr>
          <w:rFonts w:ascii="Georgia" w:cs="Georgia" w:eastAsia="Georgia" w:hAnsi="Georgia"/>
          <w:b w:val="1"/>
          <w:bCs w:val="1"/>
          <w:color w:val="3d85c6"/>
          <w:sz w:val="26"/>
          <w:szCs w:val="26"/>
        </w:rPr>
      </w:pPr>
      <w:r w:rsidDel="00000000" w:rsidR="00000000" w:rsidRPr="00000000">
        <w:rPr>
          <w:rtl w:val="0"/>
        </w:rPr>
      </w:r>
    </w:p>
    <w:p w:rsidR="00000000" w:rsidDel="00000000" w:rsidP="00000000" w:rsidRDefault="00000000" w:rsidRPr="00000000" w14:paraId="00000074">
      <w:pPr>
        <w:spacing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Introduction</w:t>
      </w:r>
    </w:p>
    <w:p w:rsidR="00000000" w:rsidDel="00000000" w:rsidP="00000000" w:rsidRDefault="00000000" w:rsidRPr="00000000" w14:paraId="00000075">
      <w:pPr>
        <w:spacing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6">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legal research is the study of laws, legal institutions, judicial decisions, and regulatory frameworks across different countries with a view to understanding their similarities, differences, and the lessons they may offer for legal reform. In today's globalised world, legal systems repeatedly grapple with the same kinds of issues – privacy protection, environmental regulation, digital governance, constitutional rights, and criminal justice reform, to name a few. By looking at how other jurisdictions have responded to these challenges, scholars, judges, and policymakers can draw on a wider pool of experience while still tailoring solutions to their own legal and social context.</w:t>
      </w:r>
    </w:p>
    <w:p w:rsidR="00000000" w:rsidDel="00000000" w:rsidP="00000000" w:rsidRDefault="00000000" w:rsidRPr="00000000" w14:paraId="00000077">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is important to stress that the aim of comparative legal research is not to simply copy a foreign law. Rather, it is to understand how different legal systems have approached a common problem and to ask whether, and how, that approach could realistically be adapted elsewhere.</w:t>
      </w:r>
    </w:p>
    <w:p w:rsidR="00000000" w:rsidDel="00000000" w:rsidP="00000000" w:rsidRDefault="00000000" w:rsidRPr="00000000" w14:paraId="00000078">
      <w:pPr>
        <w:pStyle w:val="Heading1"/>
        <w:keepNext w:val="0"/>
        <w:keepLines w:val="0"/>
        <w:spacing w:after="16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Purpose of Comparative Legal Research</w:t>
      </w:r>
    </w:p>
    <w:p w:rsidR="00000000" w:rsidDel="00000000" w:rsidP="00000000" w:rsidRDefault="00000000" w:rsidRPr="00000000" w14:paraId="00000079">
      <w:pPr>
        <w:pStyle w:val="Heading2"/>
        <w:keepNext w:val="0"/>
        <w:keepLines w:val="0"/>
        <w:spacing w:before="20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Understanding Different Legal Approaches</w:t>
      </w:r>
    </w:p>
    <w:p w:rsidR="00000000" w:rsidDel="00000000" w:rsidP="00000000" w:rsidRDefault="00000000" w:rsidRPr="00000000" w14:paraId="0000007A">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Countries often face similar legal problems but resolve them quite differently, owing to differences in history, culture, politics, and constitutional design. The right to privacy is a good illustration. India recognises privacy as a fundamental right under Article 21 of its Constitution, the United States protects it largely through constitutional interpretation built up over decades of case law, and Germany goes further still by explicitly protecting “informational self-determination” under its Basic Law. Studying these different routes to a broadly similar destination helps researchers identify alternative legal solutions that might otherwise be overlooked.</w:t>
      </w:r>
    </w:p>
    <w:p w:rsidR="00000000" w:rsidDel="00000000" w:rsidP="00000000" w:rsidRDefault="00000000" w:rsidRPr="00000000" w14:paraId="0000007B">
      <w:pPr>
        <w:pStyle w:val="Heading2"/>
        <w:keepNext w:val="0"/>
        <w:keepLines w:val="0"/>
        <w:spacing w:before="200" w:line="276" w:lineRule="auto"/>
        <w:jc w:val="both"/>
        <w:rPr>
          <w:rFonts w:ascii="Georgia" w:cs="Georgia" w:eastAsia="Georgia" w:hAnsi="Georgia"/>
          <w:b w:val="1"/>
          <w:bCs w:val="1"/>
          <w:i w:val="1"/>
          <w:iCs w:val="1"/>
          <w:sz w:val="24"/>
          <w:szCs w:val="24"/>
        </w:rPr>
      </w:pPr>
      <w:r w:rsidDel="00000000" w:rsidR="00000000" w:rsidRPr="00000000">
        <w:rPr>
          <w:rtl w:val="0"/>
        </w:rPr>
      </w:r>
    </w:p>
    <w:p w:rsidR="00000000" w:rsidDel="00000000" w:rsidP="00000000" w:rsidRDefault="00000000" w:rsidRPr="00000000" w14:paraId="0000007C">
      <w:pPr>
        <w:pStyle w:val="Heading2"/>
        <w:keepNext w:val="0"/>
        <w:keepLines w:val="0"/>
        <w:spacing w:before="200" w:line="276" w:lineRule="auto"/>
        <w:jc w:val="both"/>
        <w:rPr>
          <w:rFonts w:ascii="Georgia" w:cs="Georgia" w:eastAsia="Georgia" w:hAnsi="Georgia"/>
          <w:b w:val="1"/>
          <w:bCs w:val="1"/>
          <w:i w:val="1"/>
          <w:iCs w:val="1"/>
          <w:sz w:val="24"/>
          <w:szCs w:val="24"/>
        </w:rPr>
      </w:pPr>
      <w:r w:rsidDel="00000000" w:rsidR="00000000" w:rsidRPr="00000000">
        <w:rPr>
          <w:rtl w:val="0"/>
        </w:rPr>
      </w:r>
    </w:p>
    <w:p w:rsidR="00000000" w:rsidDel="00000000" w:rsidP="00000000" w:rsidRDefault="00000000" w:rsidRPr="00000000" w14:paraId="0000007D">
      <w:pPr>
        <w:pStyle w:val="Heading2"/>
        <w:keepNext w:val="0"/>
        <w:keepLines w:val="0"/>
        <w:spacing w:before="20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Supporting Law Reform</w:t>
      </w:r>
    </w:p>
    <w:p w:rsidR="00000000" w:rsidDel="00000000" w:rsidP="00000000" w:rsidRDefault="00000000" w:rsidRPr="00000000" w14:paraId="0000007E">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Legislatures frequently study foreign laws before introducing reforms of their own. Before enacting the Digital Personal Data Protection Act, 2023,</w:t>
      </w:r>
      <w:r w:rsidDel="00000000" w:rsidR="00000000" w:rsidRPr="00000000">
        <w:rPr>
          <w:rFonts w:ascii="Georgia" w:cs="Georgia" w:eastAsia="Georgia" w:hAnsi="Georgia"/>
          <w:sz w:val="24"/>
          <w:szCs w:val="24"/>
          <w:vertAlign w:val="superscript"/>
        </w:rPr>
        <w:footnoteReference w:customMarkFollows="0" w:id="0"/>
      </w:r>
      <w:r w:rsidDel="00000000" w:rsidR="00000000" w:rsidRPr="00000000">
        <w:rPr>
          <w:rFonts w:ascii="Georgia" w:cs="Georgia" w:eastAsia="Georgia" w:hAnsi="Georgia"/>
          <w:sz w:val="24"/>
          <w:szCs w:val="24"/>
          <w:rtl w:val="0"/>
        </w:rPr>
        <w:t xml:space="preserve"> Indian policymakers examined the European Union's General Data Protection Regulation (GDPR)</w:t>
      </w:r>
      <w:r w:rsidDel="00000000" w:rsidR="00000000" w:rsidRPr="00000000">
        <w:rPr>
          <w:rFonts w:ascii="Georgia" w:cs="Georgia" w:eastAsia="Georgia" w:hAnsi="Georgia"/>
          <w:sz w:val="24"/>
          <w:szCs w:val="24"/>
          <w:vertAlign w:val="superscript"/>
        </w:rPr>
        <w:footnoteReference w:customMarkFollows="0" w:id="1"/>
      </w:r>
      <w:r w:rsidDel="00000000" w:rsidR="00000000" w:rsidRPr="00000000">
        <w:rPr>
          <w:rFonts w:ascii="Georgia" w:cs="Georgia" w:eastAsia="Georgia" w:hAnsi="Georgia"/>
          <w:sz w:val="24"/>
          <w:szCs w:val="24"/>
          <w:rtl w:val="0"/>
        </w:rPr>
        <w:t xml:space="preserve"> along with privacy laws from several other jurisdictions. This kind of comparative analysis allows policymakers to learn from mistakes already made elsewhere and to draw on regulatory models that have been tested in practice.</w:t>
      </w:r>
    </w:p>
    <w:p w:rsidR="00000000" w:rsidDel="00000000" w:rsidP="00000000" w:rsidRDefault="00000000" w:rsidRPr="00000000" w14:paraId="0000007F">
      <w:pPr>
        <w:pStyle w:val="Heading2"/>
        <w:keepNext w:val="0"/>
        <w:keepLines w:val="0"/>
        <w:spacing w:before="200" w:line="276"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Assisting Judicial Interpretation</w:t>
      </w:r>
    </w:p>
    <w:p w:rsidR="00000000" w:rsidDel="00000000" w:rsidP="00000000" w:rsidRDefault="00000000" w:rsidRPr="00000000" w14:paraId="00000080">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Courts, too, often look abroad when deciding difficult constitutional questions. A striking example is </w:t>
      </w:r>
      <w:r w:rsidDel="00000000" w:rsidR="00000000" w:rsidRPr="00000000">
        <w:rPr>
          <w:rFonts w:ascii="Georgia" w:cs="Georgia" w:eastAsia="Georgia" w:hAnsi="Georgia"/>
          <w:i w:val="1"/>
          <w:iCs w:val="1"/>
          <w:sz w:val="24"/>
          <w:szCs w:val="24"/>
          <w:rtl w:val="0"/>
        </w:rPr>
        <w:t xml:space="preserve">Justice K.S. Puttaswamy v. Union of India</w:t>
      </w:r>
      <w:r w:rsidDel="00000000" w:rsidR="00000000" w:rsidRPr="00000000">
        <w:rPr>
          <w:rFonts w:ascii="Georgia" w:cs="Georgia" w:eastAsia="Georgia" w:hAnsi="Georgia"/>
          <w:sz w:val="24"/>
          <w:szCs w:val="24"/>
          <w:vertAlign w:val="superscript"/>
        </w:rPr>
        <w:footnoteReference w:customMarkFollows="0" w:id="2"/>
      </w:r>
      <w:r w:rsidDel="00000000" w:rsidR="00000000" w:rsidRPr="00000000">
        <w:rPr>
          <w:rFonts w:ascii="Georgia" w:cs="Georgia" w:eastAsia="Georgia" w:hAnsi="Georgia"/>
          <w:sz w:val="24"/>
          <w:szCs w:val="24"/>
          <w:rtl w:val="0"/>
        </w:rPr>
        <w:t xml:space="preserve">, which arose from a challenge to the Aadhaar scheme and asked whether privacy could be considered a fundamental right at all. A nine-judge bench of the Supreme Court of India answered unanimously in the affirmative, holding that privacy is protected under Article 21. In reaching this conclusion, the Court drew extensively on comparative material, including </w:t>
      </w:r>
      <w:r w:rsidDel="00000000" w:rsidR="00000000" w:rsidRPr="00000000">
        <w:rPr>
          <w:rFonts w:ascii="Georgia" w:cs="Georgia" w:eastAsia="Georgia" w:hAnsi="Georgia"/>
          <w:i w:val="1"/>
          <w:iCs w:val="1"/>
          <w:sz w:val="24"/>
          <w:szCs w:val="24"/>
          <w:rtl w:val="0"/>
        </w:rPr>
        <w:t xml:space="preserve">Roe v. Wade</w:t>
      </w:r>
      <w:r w:rsidDel="00000000" w:rsidR="00000000" w:rsidRPr="00000000">
        <w:rPr>
          <w:rFonts w:ascii="Georgia" w:cs="Georgia" w:eastAsia="Georgia" w:hAnsi="Georgia"/>
          <w:sz w:val="24"/>
          <w:szCs w:val="24"/>
          <w:rtl w:val="0"/>
        </w:rPr>
        <w:t xml:space="preserve"> and </w:t>
      </w:r>
      <w:r w:rsidDel="00000000" w:rsidR="00000000" w:rsidRPr="00000000">
        <w:rPr>
          <w:rFonts w:ascii="Georgia" w:cs="Georgia" w:eastAsia="Georgia" w:hAnsi="Georgia"/>
          <w:i w:val="1"/>
          <w:iCs w:val="1"/>
          <w:sz w:val="24"/>
          <w:szCs w:val="24"/>
          <w:rtl w:val="0"/>
        </w:rPr>
        <w:t xml:space="preserve">Griswold v. Connecticut</w:t>
      </w:r>
      <w:r w:rsidDel="00000000" w:rsidR="00000000" w:rsidRPr="00000000">
        <w:rPr>
          <w:rFonts w:ascii="Georgia" w:cs="Georgia" w:eastAsia="Georgia" w:hAnsi="Georgia"/>
          <w:sz w:val="24"/>
          <w:szCs w:val="24"/>
          <w:rtl w:val="0"/>
        </w:rPr>
        <w:t xml:space="preserve">, decisions of the European Court of Human Rights, and Canadian constitutional jurisprudence. The judgment shows how comparative constitutional law can be used to strengthen the protection of rights within a domestic system.</w:t>
      </w:r>
    </w:p>
    <w:p w:rsidR="00000000" w:rsidDel="00000000" w:rsidP="00000000" w:rsidRDefault="00000000" w:rsidRPr="00000000" w14:paraId="00000081">
      <w:pPr>
        <w:pStyle w:val="Heading2"/>
        <w:keepNext w:val="0"/>
        <w:keepLines w:val="0"/>
        <w:spacing w:before="20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Promoting International Harmonisation</w:t>
      </w:r>
    </w:p>
    <w:p w:rsidR="00000000" w:rsidDel="00000000" w:rsidP="00000000" w:rsidRDefault="00000000" w:rsidRPr="00000000" w14:paraId="00000082">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research can also help align domestic laws with international standards. International commercial arbitration law, for instance, has been shaped in many countries by the UNCITRAL Model Law, and India's own Arbitration and Conciliation Act, 1996</w:t>
      </w:r>
      <w:r w:rsidDel="00000000" w:rsidR="00000000" w:rsidRPr="00000000">
        <w:rPr>
          <w:rFonts w:ascii="Georgia" w:cs="Georgia" w:eastAsia="Georgia" w:hAnsi="Georgia"/>
          <w:sz w:val="24"/>
          <w:szCs w:val="24"/>
          <w:vertAlign w:val="superscript"/>
        </w:rPr>
        <w:footnoteReference w:customMarkFollows="0" w:id="3"/>
      </w:r>
      <w:r w:rsidDel="00000000" w:rsidR="00000000" w:rsidRPr="00000000">
        <w:rPr>
          <w:rFonts w:ascii="Georgia" w:cs="Georgia" w:eastAsia="Georgia" w:hAnsi="Georgia"/>
          <w:sz w:val="24"/>
          <w:szCs w:val="24"/>
          <w:rtl w:val="0"/>
        </w:rPr>
        <w:t xml:space="preserve"> reflects this broader harmonisation effort.</w:t>
      </w:r>
    </w:p>
    <w:p w:rsidR="00000000" w:rsidDel="00000000" w:rsidP="00000000" w:rsidRDefault="00000000" w:rsidRPr="00000000" w14:paraId="00000083">
      <w:pPr>
        <w:pStyle w:val="Heading1"/>
        <w:keepNext w:val="0"/>
        <w:keepLines w:val="0"/>
        <w:spacing w:after="16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Choosing Comparator Jurisdictions</w:t>
      </w:r>
    </w:p>
    <w:p w:rsidR="00000000" w:rsidDel="00000000" w:rsidP="00000000" w:rsidRDefault="00000000" w:rsidRPr="00000000" w14:paraId="00000084">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crucial first step in any comparative study is choosing which jurisdictions to compare. Countries should not be selected merely because they are economically powerful or politically influential; the selection has to be driven by relevance to the research question. Several factors typically guide this choice.</w:t>
      </w:r>
    </w:p>
    <w:p w:rsidR="00000000" w:rsidDel="00000000" w:rsidP="00000000" w:rsidRDefault="00000000" w:rsidRPr="00000000" w14:paraId="00000085">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Similar legal problem. </w:t>
      </w:r>
      <w:r w:rsidDel="00000000" w:rsidR="00000000" w:rsidRPr="00000000">
        <w:rPr>
          <w:rFonts w:ascii="Georgia" w:cs="Georgia" w:eastAsia="Georgia" w:hAnsi="Georgia"/>
          <w:sz w:val="24"/>
          <w:szCs w:val="24"/>
          <w:rtl w:val="0"/>
        </w:rPr>
        <w:t xml:space="preserve">The chosen jurisdictions should be grappling with a comparable issue. A study of data privacy regulation, for example, would naturally look at the European Union, the United Kingdom, Canada, and Australia, all of which have developed substantial privacy frameworks.</w:t>
      </w:r>
    </w:p>
    <w:p w:rsidR="00000000" w:rsidDel="00000000" w:rsidP="00000000" w:rsidRDefault="00000000" w:rsidRPr="00000000" w14:paraId="00000086">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Similar constitutional structure. </w:t>
      </w:r>
      <w:r w:rsidDel="00000000" w:rsidR="00000000" w:rsidRPr="00000000">
        <w:rPr>
          <w:rFonts w:ascii="Georgia" w:cs="Georgia" w:eastAsia="Georgia" w:hAnsi="Georgia"/>
          <w:sz w:val="24"/>
          <w:szCs w:val="24"/>
          <w:rtl w:val="0"/>
        </w:rPr>
        <w:t xml:space="preserve">Countries that share constitutional features tend to offer more useful comparisons. India, for instance, often compares itself with Canada, Australia, and South Africa, since all four have written constitutions with mechanisms for constitutional review.</w:t>
      </w:r>
    </w:p>
    <w:p w:rsidR="00000000" w:rsidDel="00000000" w:rsidP="00000000" w:rsidRDefault="00000000" w:rsidRPr="00000000" w14:paraId="00000087">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Shared historical background. </w:t>
      </w:r>
      <w:r w:rsidDel="00000000" w:rsidR="00000000" w:rsidRPr="00000000">
        <w:rPr>
          <w:rFonts w:ascii="Georgia" w:cs="Georgia" w:eastAsia="Georgia" w:hAnsi="Georgia"/>
          <w:sz w:val="24"/>
          <w:szCs w:val="24"/>
          <w:rtl w:val="0"/>
        </w:rPr>
        <w:t xml:space="preserve">Former British colonies such as India, Canada, Australia, New Zealand, and Singapore share common-law traditions, which often makes comparison among them especially fruitful.</w:t>
      </w:r>
    </w:p>
    <w:p w:rsidR="00000000" w:rsidDel="00000000" w:rsidP="00000000" w:rsidRDefault="00000000" w:rsidRPr="00000000" w14:paraId="00000088">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Successful regulatory experience. </w:t>
      </w:r>
      <w:r w:rsidDel="00000000" w:rsidR="00000000" w:rsidRPr="00000000">
        <w:rPr>
          <w:rFonts w:ascii="Georgia" w:cs="Georgia" w:eastAsia="Georgia" w:hAnsi="Georgia"/>
          <w:sz w:val="24"/>
          <w:szCs w:val="24"/>
          <w:rtl w:val="0"/>
        </w:rPr>
        <w:t xml:space="preserve">Sometimes a jurisdiction is chosen simply because it has dealt with a problem particularly well. The GDPR</w:t>
      </w:r>
      <w:r w:rsidDel="00000000" w:rsidR="00000000" w:rsidRPr="00000000">
        <w:rPr>
          <w:rFonts w:ascii="Georgia" w:cs="Georgia" w:eastAsia="Georgia" w:hAnsi="Georgia"/>
          <w:sz w:val="24"/>
          <w:szCs w:val="24"/>
          <w:vertAlign w:val="superscript"/>
        </w:rPr>
        <w:footnoteReference w:customMarkFollows="0" w:id="1"/>
      </w:r>
      <w:r w:rsidDel="00000000" w:rsidR="00000000" w:rsidRPr="00000000">
        <w:rPr>
          <w:rFonts w:ascii="Georgia" w:cs="Georgia" w:eastAsia="Georgia" w:hAnsi="Georgia"/>
          <w:sz w:val="24"/>
          <w:szCs w:val="24"/>
          <w:rtl w:val="0"/>
        </w:rPr>
        <w:t xml:space="preserve"> is a frequent reference point for this reason, having become something of a benchmark for data protection law worldwide.</w:t>
      </w:r>
    </w:p>
    <w:p w:rsidR="00000000" w:rsidDel="00000000" w:rsidP="00000000" w:rsidRDefault="00000000" w:rsidRPr="00000000" w14:paraId="00000089">
      <w:pPr>
        <w:pStyle w:val="Heading1"/>
        <w:keepNext w:val="0"/>
        <w:keepLines w:val="0"/>
        <w:spacing w:after="16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Similarities and Differences Criteria</w:t>
      </w:r>
    </w:p>
    <w:p w:rsidR="00000000" w:rsidDel="00000000" w:rsidP="00000000" w:rsidRDefault="00000000" w:rsidRPr="00000000" w14:paraId="0000008A">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sound comparative analysis examines both what jurisdictions have in common and where they diverge. On the side of similarities, researchers typically look at shared legal principles – fundamental rights, the rule of law, and judicial review – as well as institutional structures such as courts, regulatory agencies, and ombudsman systems, and legislative objectives like consumer protection, privacy, and environmental conservation.</w:t>
      </w:r>
    </w:p>
    <w:p w:rsidR="00000000" w:rsidDel="00000000" w:rsidP="00000000" w:rsidRDefault="00000000" w:rsidRPr="00000000" w14:paraId="0000008B">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 the side of differences, attention turns to constitutional design (federal versus unitary systems), political systems (presidential versus parliamentary models), judicial culture (activist versus restrained courts), economic conditions (developed versus developing economies), and social norms that influence how a law is actually implemented on the ground.</w:t>
      </w:r>
    </w:p>
    <w:p w:rsidR="00000000" w:rsidDel="00000000" w:rsidP="00000000" w:rsidRDefault="00000000" w:rsidRPr="00000000" w14:paraId="0000008C">
      <w:pPr>
        <w:pStyle w:val="Heading1"/>
        <w:keepNext w:val="0"/>
        <w:keepLines w:val="0"/>
        <w:spacing w:after="16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Identifying Comparable Legal Problems</w:t>
      </w:r>
    </w:p>
    <w:p w:rsidR="00000000" w:rsidDel="00000000" w:rsidP="00000000" w:rsidRDefault="00000000" w:rsidRPr="00000000" w14:paraId="0000008D">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of the most important methodological requirements in comparative legal research is identifying problems that are functionally equivalent across jurisdictions. The question is not whether two laws look similar on paper, but whether they are trying to solve the same underlying problem.</w:t>
      </w:r>
    </w:p>
    <w:p w:rsidR="00000000" w:rsidDel="00000000" w:rsidP="00000000" w:rsidRDefault="00000000" w:rsidRPr="00000000" w14:paraId="0000008E">
      <w:pPr>
        <w:pStyle w:val="Heading2"/>
        <w:keepNext w:val="0"/>
        <w:keepLines w:val="0"/>
        <w:spacing w:before="20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The Functional Method</w:t>
      </w:r>
    </w:p>
    <w:p w:rsidR="00000000" w:rsidDel="00000000" w:rsidP="00000000" w:rsidRDefault="00000000" w:rsidRPr="00000000" w14:paraId="0000008F">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law scholars have long advocated what is known as the functional method, which essentially asks: what social problem is this law trying to solve? Take the problem of protecting personal data online. Europe answers it through the GDPR, Australia through its Privacy Act, and India through the DPDP Act.</w:t>
      </w:r>
      <w:r w:rsidDel="00000000" w:rsidR="00000000" w:rsidRPr="00000000">
        <w:rPr>
          <w:rFonts w:ascii="Georgia" w:cs="Georgia" w:eastAsia="Georgia" w:hAnsi="Georgia"/>
          <w:sz w:val="24"/>
          <w:szCs w:val="24"/>
          <w:vertAlign w:val="superscript"/>
        </w:rPr>
        <w:footnoteReference w:customMarkFollows="0" w:id="0"/>
      </w:r>
      <w:r w:rsidDel="00000000" w:rsidR="00000000" w:rsidRPr="00000000">
        <w:rPr>
          <w:rFonts w:ascii="Georgia" w:cs="Georgia" w:eastAsia="Georgia" w:hAnsi="Georgia"/>
          <w:sz w:val="24"/>
          <w:szCs w:val="24"/>
          <w:rtl w:val="0"/>
        </w:rPr>
        <w:t xml:space="preserve"> The legal mechanisms differ considerably, but the underlying social problem they are responding to remains essentially the same.</w:t>
      </w:r>
    </w:p>
    <w:p w:rsidR="00000000" w:rsidDel="00000000" w:rsidP="00000000" w:rsidRDefault="00000000" w:rsidRPr="00000000" w14:paraId="00000090">
      <w:pPr>
        <w:pStyle w:val="Heading2"/>
        <w:keepNext w:val="0"/>
        <w:keepLines w:val="0"/>
        <w:spacing w:before="20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Comparing Statutes</w:t>
      </w:r>
    </w:p>
    <w:p w:rsidR="00000000" w:rsidDel="00000000" w:rsidP="00000000" w:rsidRDefault="00000000" w:rsidRPr="00000000" w14:paraId="00000091">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When comparing statutes, researchers typically look at their legislative objectives, key definitions, the rights and duties they create, their enforcement mechanisms, and the penalties they impose. A simple comparison of India's data protection regime with that of the European Union illustrates this well.</w:t>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3120"/>
        <w:gridCol w:w="3120"/>
        <w:tblGridChange w:id="0">
          <w:tblGrid>
            <w:gridCol w:w="3120"/>
            <w:gridCol w:w="3120"/>
            <w:gridCol w:w="312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9e2f3" w:val="clear"/>
            <w:tcMar>
              <w:top w:w="80.0" w:type="dxa"/>
              <w:left w:w="120.0" w:type="dxa"/>
              <w:bottom w:w="80.0" w:type="dxa"/>
              <w:right w:w="120.0" w:type="dxa"/>
            </w:tcMar>
          </w:tcPr>
          <w:p w:rsidR="00000000" w:rsidDel="00000000" w:rsidP="00000000" w:rsidRDefault="00000000" w:rsidRPr="00000000" w14:paraId="00000092">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Feature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9e2f3" w:val="clear"/>
            <w:tcMar>
              <w:top w:w="80.0" w:type="dxa"/>
              <w:left w:w="120.0" w:type="dxa"/>
              <w:bottom w:w="80.0" w:type="dxa"/>
              <w:right w:w="120.0" w:type="dxa"/>
            </w:tcMar>
          </w:tcPr>
          <w:p w:rsidR="00000000" w:rsidDel="00000000" w:rsidP="00000000" w:rsidRDefault="00000000" w:rsidRPr="00000000" w14:paraId="00000093">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India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9e2f3" w:val="clear"/>
            <w:tcMar>
              <w:top w:w="80.0" w:type="dxa"/>
              <w:left w:w="120.0" w:type="dxa"/>
              <w:bottom w:w="80.0" w:type="dxa"/>
              <w:right w:w="120.0" w:type="dxa"/>
            </w:tcMar>
          </w:tcPr>
          <w:p w:rsidR="00000000" w:rsidDel="00000000" w:rsidP="00000000" w:rsidRDefault="00000000" w:rsidRPr="00000000" w14:paraId="00000094">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European Union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5">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Governing law</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6">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DPDP Act, 2023</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7">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GDPR</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8">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Consent requirement</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9">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Yes</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A">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Yes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B">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Data protection authority</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C">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Data Protection Board</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D">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National data protection authorities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E">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Penalties</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9F">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Significant</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A0">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Very high</w:t>
            </w:r>
          </w:p>
        </w:tc>
      </w:tr>
    </w:tbl>
    <w:p w:rsidR="00000000" w:rsidDel="00000000" w:rsidP="00000000" w:rsidRDefault="00000000" w:rsidRPr="00000000" w14:paraId="000000A1">
      <w:pPr>
        <w:spacing w:before="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Even this short comparison reveals both convergence – both regimes require consent and create a dedicated regulator – and divergence, particularly in the scale of penalties.</w:t>
      </w:r>
    </w:p>
    <w:p w:rsidR="00000000" w:rsidDel="00000000" w:rsidP="00000000" w:rsidRDefault="00000000" w:rsidRPr="00000000" w14:paraId="000000A2">
      <w:pPr>
        <w:pStyle w:val="Heading2"/>
        <w:keepNext w:val="0"/>
        <w:keepLines w:val="0"/>
        <w:spacing w:before="20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Comparing Judicial Decisions</w:t>
      </w:r>
    </w:p>
    <w:p w:rsidR="00000000" w:rsidDel="00000000" w:rsidP="00000000" w:rsidRDefault="00000000" w:rsidRPr="00000000" w14:paraId="000000A3">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Courts in different jurisdictions often interpret similar constitutional rights in quite different ways. In </w:t>
      </w:r>
      <w:r w:rsidDel="00000000" w:rsidR="00000000" w:rsidRPr="00000000">
        <w:rPr>
          <w:rFonts w:ascii="Georgia" w:cs="Georgia" w:eastAsia="Georgia" w:hAnsi="Georgia"/>
          <w:i w:val="1"/>
          <w:iCs w:val="1"/>
          <w:sz w:val="24"/>
          <w:szCs w:val="24"/>
          <w:rtl w:val="0"/>
        </w:rPr>
        <w:t xml:space="preserve">Puttaswamy</w:t>
      </w:r>
      <w:r w:rsidDel="00000000" w:rsidR="00000000" w:rsidRPr="00000000">
        <w:rPr>
          <w:rFonts w:ascii="Georgia" w:cs="Georgia" w:eastAsia="Georgia" w:hAnsi="Georgia"/>
          <w:sz w:val="24"/>
          <w:szCs w:val="24"/>
          <w:vertAlign w:val="superscript"/>
        </w:rPr>
        <w:footnoteReference w:customMarkFollows="0" w:id="2"/>
      </w:r>
      <w:r w:rsidDel="00000000" w:rsidR="00000000" w:rsidRPr="00000000">
        <w:rPr>
          <w:rFonts w:ascii="Georgia" w:cs="Georgia" w:eastAsia="Georgia" w:hAnsi="Georgia"/>
          <w:sz w:val="24"/>
          <w:szCs w:val="24"/>
          <w:rtl w:val="0"/>
        </w:rPr>
        <w:t xml:space="preserve">, the Supreme Court of India recognised privacy as a fundamental right under the Constitution. Around the same time, in </w:t>
      </w:r>
      <w:r w:rsidDel="00000000" w:rsidR="00000000" w:rsidRPr="00000000">
        <w:rPr>
          <w:rFonts w:ascii="Georgia" w:cs="Georgia" w:eastAsia="Georgia" w:hAnsi="Georgia"/>
          <w:i w:val="1"/>
          <w:iCs w:val="1"/>
          <w:sz w:val="24"/>
          <w:szCs w:val="24"/>
          <w:rtl w:val="0"/>
        </w:rPr>
        <w:t xml:space="preserve">Carpenter v. United States</w:t>
      </w:r>
      <w:r w:rsidDel="00000000" w:rsidR="00000000" w:rsidRPr="00000000">
        <w:rPr>
          <w:rFonts w:ascii="Georgia" w:cs="Georgia" w:eastAsia="Georgia" w:hAnsi="Georgia"/>
          <w:sz w:val="24"/>
          <w:szCs w:val="24"/>
          <w:vertAlign w:val="superscript"/>
        </w:rPr>
        <w:footnoteReference w:customMarkFollows="0" w:id="4"/>
      </w:r>
      <w:r w:rsidDel="00000000" w:rsidR="00000000" w:rsidRPr="00000000">
        <w:rPr>
          <w:rFonts w:ascii="Georgia" w:cs="Georgia" w:eastAsia="Georgia" w:hAnsi="Georgia"/>
          <w:sz w:val="24"/>
          <w:szCs w:val="24"/>
          <w:rtl w:val="0"/>
        </w:rPr>
        <w:t xml:space="preserve">, the U.S. Supreme Court held that the police generally need a warrant to access historical cell-phone location records, effectively expanding privacy protection into the digital age. Both courts ended up protecting individuals against state surveillance, but they reached that result through quite different constitutional doctrines – a useful reminder that similar outcomes can be reached by very different legal routes.</w:t>
      </w:r>
    </w:p>
    <w:p w:rsidR="00000000" w:rsidDel="00000000" w:rsidP="00000000" w:rsidRDefault="00000000" w:rsidRPr="00000000" w14:paraId="000000A4">
      <w:pPr>
        <w:pStyle w:val="Heading2"/>
        <w:keepNext w:val="0"/>
        <w:keepLines w:val="0"/>
        <w:spacing w:before="20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Comparing Regulators and Policymakers</w:t>
      </w:r>
    </w:p>
    <w:p w:rsidR="00000000" w:rsidDel="00000000" w:rsidP="00000000" w:rsidRDefault="00000000" w:rsidRPr="00000000" w14:paraId="000000A5">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research should not stop at statutes and judgments. It is equally important to look at the regulatory authorities, administrative agencies, policymaking processes, and enforcement mechanisms that give a law its practical effect. India's Data Protection Board, the various national data protection authorities within the European Union, and the United Kingdom's Information Commissioner's Office all perform broadly similar roles, but with different resources, powers, and institutional cultures. A statute may look impressive on paper, yet weak enforcement can undermine its effectiveness considerably.</w:t>
      </w:r>
    </w:p>
    <w:p w:rsidR="00000000" w:rsidDel="00000000" w:rsidP="00000000" w:rsidRDefault="00000000" w:rsidRPr="00000000" w14:paraId="000000A6">
      <w:pPr>
        <w:pStyle w:val="Heading1"/>
        <w:keepNext w:val="0"/>
        <w:keepLines w:val="0"/>
        <w:spacing w:after="16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Avoiding Superficial Legal Transplants</w:t>
      </w:r>
    </w:p>
    <w:p w:rsidR="00000000" w:rsidDel="00000000" w:rsidP="00000000" w:rsidRDefault="00000000" w:rsidRPr="00000000" w14:paraId="000000A7">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of the biggest risks in comparative legal research is assuming that a law which has worked well in one country will automatically work just as well in another. This is often called a superficial legal transplant. The case of </w:t>
      </w:r>
      <w:r w:rsidDel="00000000" w:rsidR="00000000" w:rsidRPr="00000000">
        <w:rPr>
          <w:rFonts w:ascii="Georgia" w:cs="Georgia" w:eastAsia="Georgia" w:hAnsi="Georgia"/>
          <w:i w:val="1"/>
          <w:iCs w:val="1"/>
          <w:sz w:val="24"/>
          <w:szCs w:val="24"/>
          <w:rtl w:val="0"/>
        </w:rPr>
        <w:t xml:space="preserve">McDonald's Corporation v. Steel and Morris</w:t>
      </w:r>
      <w:r w:rsidDel="00000000" w:rsidR="00000000" w:rsidRPr="00000000">
        <w:rPr>
          <w:rFonts w:ascii="Georgia" w:cs="Georgia" w:eastAsia="Georgia" w:hAnsi="Georgia"/>
          <w:sz w:val="24"/>
          <w:szCs w:val="24"/>
          <w:vertAlign w:val="superscript"/>
        </w:rPr>
        <w:footnoteReference w:customMarkFollows="0" w:id="5"/>
      </w:r>
      <w:r w:rsidDel="00000000" w:rsidR="00000000" w:rsidRPr="00000000">
        <w:rPr>
          <w:rFonts w:ascii="Georgia" w:cs="Georgia" w:eastAsia="Georgia" w:hAnsi="Georgia"/>
          <w:sz w:val="24"/>
          <w:szCs w:val="24"/>
          <w:rtl w:val="0"/>
        </w:rPr>
        <w:t xml:space="preserve"> is a good illustration of how legal procedures can operate very differently depending on the social and institutional context in which they sit. The GDPR works well in Europe partly because strong regulators exist, public awareness of privacy issues is high, and administrative capacity is significant. Simply transplanting GDPR-style provisions into a country lacking these supporting conditions may not produce anything like the same results.</w:t>
      </w:r>
    </w:p>
    <w:p w:rsidR="00000000" w:rsidDel="00000000" w:rsidP="00000000" w:rsidRDefault="00000000" w:rsidRPr="00000000" w14:paraId="000000A8">
      <w:pPr>
        <w:pStyle w:val="Heading1"/>
        <w:keepNext w:val="0"/>
        <w:keepLines w:val="0"/>
        <w:spacing w:after="16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Accounting for Social and Political Context</w:t>
      </w:r>
    </w:p>
    <w:p w:rsidR="00000000" w:rsidDel="00000000" w:rsidP="00000000" w:rsidRDefault="00000000" w:rsidRPr="00000000" w14:paraId="000000A9">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Law never operates in a vacuum, and comparative researchers need to keep the surrounding political environment, economic conditions, administrative capacity, social attitudes, and historical experience firmly in view. </w:t>
      </w:r>
      <w:r w:rsidDel="00000000" w:rsidR="00000000" w:rsidRPr="00000000">
        <w:rPr>
          <w:rFonts w:ascii="Georgia" w:cs="Georgia" w:eastAsia="Georgia" w:hAnsi="Georgia"/>
          <w:i w:val="1"/>
          <w:iCs w:val="1"/>
          <w:sz w:val="24"/>
          <w:szCs w:val="24"/>
          <w:rtl w:val="0"/>
        </w:rPr>
        <w:t xml:space="preserve">Minister of Health v. Treatment Action Campaign</w:t>
      </w:r>
      <w:r w:rsidDel="00000000" w:rsidR="00000000" w:rsidRPr="00000000">
        <w:rPr>
          <w:rFonts w:ascii="Georgia" w:cs="Georgia" w:eastAsia="Georgia" w:hAnsi="Georgia"/>
          <w:sz w:val="24"/>
          <w:szCs w:val="24"/>
          <w:vertAlign w:val="superscript"/>
        </w:rPr>
        <w:footnoteReference w:customMarkFollows="0" w:id="6"/>
      </w:r>
      <w:r w:rsidDel="00000000" w:rsidR="00000000" w:rsidRPr="00000000">
        <w:rPr>
          <w:rFonts w:ascii="Georgia" w:cs="Georgia" w:eastAsia="Georgia" w:hAnsi="Georgia"/>
          <w:sz w:val="24"/>
          <w:szCs w:val="24"/>
          <w:rtl w:val="0"/>
        </w:rPr>
        <w:t xml:space="preserve"> offers a powerful example. Facing a severe HIV/AIDS crisis, the South African government had restricted access to anti-retroviral drugs, and the Constitutional Court directed the government to expand access. The decision shows how constitutional rights have to be interpreted with an eye to social realities and pressing public health needs – a lesson that applies just as much to India, where socio-economic conditions shape how constitutional rights are actually implemented in practice.</w:t>
      </w:r>
    </w:p>
    <w:p w:rsidR="00000000" w:rsidDel="00000000" w:rsidP="00000000" w:rsidRDefault="00000000" w:rsidRPr="00000000" w14:paraId="000000AA">
      <w:pPr>
        <w:pStyle w:val="Heading1"/>
        <w:keepNext w:val="0"/>
        <w:keepLines w:val="0"/>
        <w:spacing w:after="16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Extracting Lessons for Indian Law and Policy</w:t>
      </w:r>
    </w:p>
    <w:p w:rsidR="00000000" w:rsidDel="00000000" w:rsidP="00000000" w:rsidRDefault="00000000" w:rsidRPr="00000000" w14:paraId="000000AB">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comparative legal research should point towards lessons that can realistically be adapted to Indian conditions – the goal is adaptation, not imitation.</w:t>
      </w:r>
    </w:p>
    <w:p w:rsidR="00000000" w:rsidDel="00000000" w:rsidP="00000000" w:rsidRDefault="00000000" w:rsidRPr="00000000" w14:paraId="000000AC">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 privacy protection, the EU's GDPR places strong emphasis on informed consent, accountability, and data minimisation. India has absorbed several of these principles into the DPDP Act</w:t>
      </w:r>
      <w:r w:rsidDel="00000000" w:rsidR="00000000" w:rsidRPr="00000000">
        <w:rPr>
          <w:rFonts w:ascii="Georgia" w:cs="Georgia" w:eastAsia="Georgia" w:hAnsi="Georgia"/>
          <w:sz w:val="24"/>
          <w:szCs w:val="24"/>
          <w:vertAlign w:val="superscript"/>
        </w:rPr>
        <w:footnoteReference w:customMarkFollows="0" w:id="0"/>
      </w:r>
      <w:r w:rsidDel="00000000" w:rsidR="00000000" w:rsidRPr="00000000">
        <w:rPr>
          <w:rFonts w:ascii="Georgia" w:cs="Georgia" w:eastAsia="Georgia" w:hAnsi="Georgia"/>
          <w:sz w:val="24"/>
          <w:szCs w:val="24"/>
          <w:rtl w:val="0"/>
        </w:rPr>
        <w:t xml:space="preserve">, while modifying them to fit domestic realities.</w:t>
      </w:r>
    </w:p>
    <w:p w:rsidR="00000000" w:rsidDel="00000000" w:rsidP="00000000" w:rsidRDefault="00000000" w:rsidRPr="00000000" w14:paraId="000000AD">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 constitutional rights, </w:t>
      </w:r>
      <w:r w:rsidDel="00000000" w:rsidR="00000000" w:rsidRPr="00000000">
        <w:rPr>
          <w:rFonts w:ascii="Georgia" w:cs="Georgia" w:eastAsia="Georgia" w:hAnsi="Georgia"/>
          <w:i w:val="1"/>
          <w:iCs w:val="1"/>
          <w:sz w:val="24"/>
          <w:szCs w:val="24"/>
          <w:rtl w:val="0"/>
        </w:rPr>
        <w:t xml:space="preserve">S v. Makwanyane</w:t>
      </w:r>
      <w:r w:rsidDel="00000000" w:rsidR="00000000" w:rsidRPr="00000000">
        <w:rPr>
          <w:rFonts w:ascii="Georgia" w:cs="Georgia" w:eastAsia="Georgia" w:hAnsi="Georgia"/>
          <w:sz w:val="24"/>
          <w:szCs w:val="24"/>
          <w:vertAlign w:val="superscript"/>
        </w:rPr>
        <w:footnoteReference w:customMarkFollows="0" w:id="7"/>
      </w:r>
      <w:r w:rsidDel="00000000" w:rsidR="00000000" w:rsidRPr="00000000">
        <w:rPr>
          <w:rFonts w:ascii="Georgia" w:cs="Georgia" w:eastAsia="Georgia" w:hAnsi="Georgia"/>
          <w:sz w:val="24"/>
          <w:szCs w:val="24"/>
          <w:rtl w:val="0"/>
        </w:rPr>
        <w:t xml:space="preserve">, in which the South African Constitutional Court abolished the death penalty, is notable for the extent to which the Court relied on international and comparative constitutional jurisprudence. The lesson for India is that comparative materials can genuinely enrich constitutional reasoning, provided they are used to support – rather than override – the domestic constitutional structure.</w:t>
      </w:r>
    </w:p>
    <w:p w:rsidR="00000000" w:rsidDel="00000000" w:rsidP="00000000" w:rsidRDefault="00000000" w:rsidRPr="00000000" w14:paraId="000000AE">
      <w:pPr>
        <w:pStyle w:val="Heading1"/>
        <w:keepNext w:val="0"/>
        <w:keepLines w:val="0"/>
        <w:spacing w:after="16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Presenting Comparison Tables</w:t>
      </w:r>
    </w:p>
    <w:p w:rsidR="00000000" w:rsidDel="00000000" w:rsidP="00000000" w:rsidRDefault="00000000" w:rsidRPr="00000000" w14:paraId="000000AF">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Structured tables are a simple but effective way to present comparative findings clearly. A short comparison of India, the United Kingdom, and the European Union on privacy-related criteria might look like this:</w:t>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9e2f3" w:val="clear"/>
            <w:tcMar>
              <w:top w:w="80.0" w:type="dxa"/>
              <w:left w:w="120.0" w:type="dxa"/>
              <w:bottom w:w="80.0" w:type="dxa"/>
              <w:right w:w="120.0" w:type="dxa"/>
            </w:tcMar>
          </w:tcPr>
          <w:p w:rsidR="00000000" w:rsidDel="00000000" w:rsidP="00000000" w:rsidRDefault="00000000" w:rsidRPr="00000000" w14:paraId="000000B0">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Criteria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9e2f3" w:val="clear"/>
            <w:tcMar>
              <w:top w:w="80.0" w:type="dxa"/>
              <w:left w:w="120.0" w:type="dxa"/>
              <w:bottom w:w="80.0" w:type="dxa"/>
              <w:right w:w="120.0" w:type="dxa"/>
            </w:tcMar>
          </w:tcPr>
          <w:p w:rsidR="00000000" w:rsidDel="00000000" w:rsidP="00000000" w:rsidRDefault="00000000" w:rsidRPr="00000000" w14:paraId="000000B1">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India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9e2f3" w:val="clear"/>
            <w:tcMar>
              <w:top w:w="80.0" w:type="dxa"/>
              <w:left w:w="120.0" w:type="dxa"/>
              <w:bottom w:w="80.0" w:type="dxa"/>
              <w:right w:w="120.0" w:type="dxa"/>
            </w:tcMar>
          </w:tcPr>
          <w:p w:rsidR="00000000" w:rsidDel="00000000" w:rsidP="00000000" w:rsidRDefault="00000000" w:rsidRPr="00000000" w14:paraId="000000B2">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United Kingdom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9e2f3" w:val="clear"/>
            <w:tcMar>
              <w:top w:w="80.0" w:type="dxa"/>
              <w:left w:w="120.0" w:type="dxa"/>
              <w:bottom w:w="80.0" w:type="dxa"/>
              <w:right w:w="120.0" w:type="dxa"/>
            </w:tcMar>
          </w:tcPr>
          <w:p w:rsidR="00000000" w:rsidDel="00000000" w:rsidP="00000000" w:rsidRDefault="00000000" w:rsidRPr="00000000" w14:paraId="000000B3">
            <w:pPr>
              <w:spacing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European Union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4">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system</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5">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Common law</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6">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Common law</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7">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Mixed</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8">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Privacy right</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9">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Fundamental right</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A">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Statutory protection</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B">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Fundamental right</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C">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Regulator</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D">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Data Protection Board</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E">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ICO</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BF">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National authorities</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C0">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Enforcement model</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C1">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Administrative</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C2">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Administrative</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C3">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Administrative + judicial</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C4">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Penalties</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C5">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High</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C6">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High</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C7">
            <w:pPr>
              <w:spacing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Very high</w:t>
            </w:r>
          </w:p>
        </w:tc>
      </w:tr>
    </w:tbl>
    <w:p w:rsidR="00000000" w:rsidDel="00000000" w:rsidP="00000000" w:rsidRDefault="00000000" w:rsidRPr="00000000" w14:paraId="000000C8">
      <w:pPr>
        <w:spacing w:before="12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Such tables make it easier to spot patterns of convergence and divergence at a glance, and they give the analysis a clarity that purely narrative description often lacks.</w:t>
      </w:r>
    </w:p>
    <w:p w:rsidR="00000000" w:rsidDel="00000000" w:rsidP="00000000" w:rsidRDefault="00000000" w:rsidRPr="00000000" w14:paraId="000000C9">
      <w:pPr>
        <w:spacing w:line="276" w:lineRule="auto"/>
        <w:jc w:val="both"/>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CA">
      <w:pPr>
        <w:spacing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The Digital Personal Data Protection Act, 2023 (India).</w:t>
      </w:r>
    </w:p>
  </w:footnote>
  <w:footnote w:id="1">
    <w:p w:rsidR="00000000" w:rsidDel="00000000" w:rsidP="00000000" w:rsidRDefault="00000000" w:rsidRPr="00000000" w14:paraId="000000CB">
      <w:pPr>
        <w:spacing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Regulation (EU) 2016/679 (General Data Protection Regulation).</w:t>
      </w:r>
    </w:p>
  </w:footnote>
  <w:footnote w:id="2">
    <w:p w:rsidR="00000000" w:rsidDel="00000000" w:rsidP="00000000" w:rsidRDefault="00000000" w:rsidRPr="00000000" w14:paraId="000000CC">
      <w:pPr>
        <w:spacing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Justice K.S. Puttaswamy v. Union of India, (2017) 10 SCC 1.</w:t>
      </w:r>
    </w:p>
  </w:footnote>
  <w:footnote w:id="3">
    <w:p w:rsidR="00000000" w:rsidDel="00000000" w:rsidP="00000000" w:rsidRDefault="00000000" w:rsidRPr="00000000" w14:paraId="000000CD">
      <w:pPr>
        <w:spacing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The Arbitration and Conciliation Act, 1996 (India), based on the UNCITRAL Model Law on International Commercial Arbitration, 1985.</w:t>
      </w:r>
    </w:p>
  </w:footnote>
  <w:footnote w:id="4">
    <w:p w:rsidR="00000000" w:rsidDel="00000000" w:rsidP="00000000" w:rsidRDefault="00000000" w:rsidRPr="00000000" w14:paraId="000000CE">
      <w:pPr>
        <w:spacing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Carpenter v. United States, 585 U.S. 296 (2018).</w:t>
      </w:r>
    </w:p>
  </w:footnote>
  <w:footnote w:id="5">
    <w:p w:rsidR="00000000" w:rsidDel="00000000" w:rsidP="00000000" w:rsidRDefault="00000000" w:rsidRPr="00000000" w14:paraId="000000CF">
      <w:pPr>
        <w:spacing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McDonald's Corporation v. Steel and Morris, [1997] EWHC QB 366.</w:t>
      </w:r>
    </w:p>
  </w:footnote>
  <w:footnote w:id="6">
    <w:p w:rsidR="00000000" w:rsidDel="00000000" w:rsidP="00000000" w:rsidRDefault="00000000" w:rsidRPr="00000000" w14:paraId="000000D0">
      <w:pPr>
        <w:spacing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Minister of Health v. Treatment Action Campaign (No. 2), 2002 (5) SA 721 (CC).</w:t>
      </w:r>
    </w:p>
  </w:footnote>
  <w:footnote w:id="7">
    <w:p w:rsidR="00000000" w:rsidDel="00000000" w:rsidP="00000000" w:rsidRDefault="00000000" w:rsidRPr="00000000" w14:paraId="000000D1">
      <w:pPr>
        <w:spacing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S v. Makwanyane, 1995 (3) SA 391 (CC).</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